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4.xml" ContentType="application/vnd.openxmlformats-officedocument.wordprocessingml.foot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5579" w:rsidRDefault="00000000" w14:paraId="7404B943" w14:textId="77777777">
      <w:pPr>
        <w:spacing w:after="120"/>
      </w:pPr>
      <w:r>
        <w:rPr>
          <w:b/>
        </w:rPr>
        <w:t>1. AMAÇ</w:t>
      </w:r>
    </w:p>
    <w:p w:rsidR="00825579" w:rsidRDefault="00000000" w14:paraId="7444448F" w14:textId="77777777">
      <w:pPr>
        <w:spacing w:after="120"/>
        <w:jc w:val="both"/>
      </w:pPr>
      <w:r>
        <w:t>Bu prosedürün amacı, Üniversitemizde ISO-9001:2015 standardı kapsamında Kalite Yönetim Sisteminin gözden geçirilmesi, etkin ve sürekli olarak devam ettirilmesi ve bu sistemin kalite politikası ve hedeflerine uygun olarak varlığını sürdürebilmesi için kalite sisteminin periyodik olarak incelenmesi ve değerlendirilmesidir.</w:t>
      </w:r>
    </w:p>
    <w:p w:rsidR="00825579" w:rsidRDefault="00000000" w14:paraId="7A072080" w14:textId="77777777">
      <w:pPr>
        <w:spacing w:after="120"/>
      </w:pPr>
      <w:r>
        <w:rPr>
          <w:b/>
        </w:rPr>
        <w:t>2. KAPSAM</w:t>
      </w:r>
    </w:p>
    <w:p w:rsidR="00825579" w:rsidRDefault="00000000" w14:paraId="7E76C6C2" w14:textId="77777777">
      <w:pPr>
        <w:spacing w:after="120"/>
        <w:jc w:val="both"/>
      </w:pPr>
      <w:r>
        <w:t xml:space="preserve">Bu prosedür; TS EN ISO 9001:2015 Kalite, TS EN ISO 50001:2018 Enerji ve TS ISO 46001 Su Verimliliği Yönetim Sistemi standartlarını kapsayan </w:t>
      </w:r>
      <w:r>
        <w:rPr>
          <w:b/>
        </w:rPr>
        <w:t>Entegre Yönetim Sistemi (EYS)</w:t>
      </w:r>
      <w:r>
        <w:t xml:space="preserve"> çerçevesinde uygulanır.</w:t>
      </w:r>
    </w:p>
    <w:p w:rsidR="00825579" w:rsidRDefault="00000000" w14:paraId="2DB3EED9" w14:textId="77777777">
      <w:pPr>
        <w:spacing w:after="120"/>
        <w:jc w:val="both"/>
      </w:pPr>
      <w:r>
        <w:t>Üst Yönetim, Entegre Yönetim Sistemi kapsamında bulunan ve doğrudan etkileyen tüm birimler, faaliyetler ve öneriler kapsam dâhilindedir.</w:t>
      </w:r>
    </w:p>
    <w:p w:rsidR="00825579" w:rsidRDefault="00000000" w14:paraId="6ADEC3BC" w14:textId="77777777">
      <w:pPr>
        <w:spacing w:after="120"/>
      </w:pPr>
      <w:r>
        <w:rPr>
          <w:b/>
        </w:rPr>
        <w:t>3. TANIMLAR VE KISALTMALAR</w:t>
      </w:r>
    </w:p>
    <w:p w:rsidR="00DA5503" w:rsidP="00DA5503" w:rsidRDefault="00DA5503" w14:paraId="27D79411" w14:textId="77777777">
      <w:pPr>
        <w:spacing w:after="120"/>
        <w:jc w:val="both"/>
      </w:pPr>
      <w:r>
        <w:rPr>
          <w:b/>
        </w:rPr>
        <w:t xml:space="preserve">Entegre </w:t>
      </w:r>
      <w:proofErr w:type="spellStart"/>
      <w:r>
        <w:rPr>
          <w:b/>
        </w:rPr>
        <w:t>Yönetim</w:t>
      </w:r>
      <w:proofErr w:type="spellEnd"/>
      <w:r>
        <w:rPr>
          <w:b/>
        </w:rPr>
        <w:t xml:space="preserve"> </w:t>
      </w:r>
      <w:proofErr w:type="spellStart"/>
      <w:r>
        <w:rPr>
          <w:b/>
        </w:rPr>
        <w:t>Sistemi</w:t>
      </w:r>
      <w:proofErr w:type="spellEnd"/>
      <w:r>
        <w:rPr>
          <w:b/>
        </w:rPr>
        <w:t xml:space="preserve"> (EYS):</w:t>
      </w:r>
      <w:r>
        <w:t xml:space="preserve"> </w:t>
      </w:r>
      <w:proofErr w:type="spellStart"/>
      <w:r>
        <w:t>Üniversitenin</w:t>
      </w:r>
      <w:proofErr w:type="spellEnd"/>
      <w:r>
        <w:t xml:space="preserve"> </w:t>
      </w:r>
      <w:proofErr w:type="spellStart"/>
      <w:r>
        <w:t>politika</w:t>
      </w:r>
      <w:proofErr w:type="spellEnd"/>
      <w:r>
        <w:t xml:space="preserve">, </w:t>
      </w:r>
      <w:proofErr w:type="spellStart"/>
      <w:r>
        <w:t>hedef</w:t>
      </w:r>
      <w:proofErr w:type="spellEnd"/>
      <w:r>
        <w:t xml:space="preserve"> </w:t>
      </w:r>
      <w:proofErr w:type="spellStart"/>
      <w:r>
        <w:t>ve</w:t>
      </w:r>
      <w:proofErr w:type="spellEnd"/>
      <w:r>
        <w:t xml:space="preserve"> </w:t>
      </w:r>
      <w:proofErr w:type="spellStart"/>
      <w:r>
        <w:t>süreçlerini</w:t>
      </w:r>
      <w:proofErr w:type="spellEnd"/>
      <w:r>
        <w:t xml:space="preserve">; TS EN ISO 9001:2015 Kalite, TS EN ISO 50001:2018 Enerji </w:t>
      </w:r>
      <w:proofErr w:type="spellStart"/>
      <w:r>
        <w:t>ve</w:t>
      </w:r>
      <w:proofErr w:type="spellEnd"/>
      <w:r>
        <w:t xml:space="preserve"> TS ISO 46001 Su </w:t>
      </w:r>
      <w:proofErr w:type="spellStart"/>
      <w:r>
        <w:t>Verimliliği</w:t>
      </w:r>
      <w:proofErr w:type="spellEnd"/>
      <w:r>
        <w:t xml:space="preserve"> </w:t>
      </w:r>
      <w:proofErr w:type="spellStart"/>
      <w:r>
        <w:t>Yönetim</w:t>
      </w:r>
      <w:proofErr w:type="spellEnd"/>
      <w:r>
        <w:t xml:space="preserve"> Sistemi </w:t>
      </w:r>
      <w:proofErr w:type="spellStart"/>
      <w:r>
        <w:t>standartlarının</w:t>
      </w:r>
      <w:proofErr w:type="spellEnd"/>
      <w:r>
        <w:t xml:space="preserve"> </w:t>
      </w:r>
      <w:proofErr w:type="spellStart"/>
      <w:r>
        <w:t>tüm</w:t>
      </w:r>
      <w:proofErr w:type="spellEnd"/>
      <w:r>
        <w:t xml:space="preserve"> </w:t>
      </w:r>
      <w:proofErr w:type="spellStart"/>
      <w:r>
        <w:t>ilgili</w:t>
      </w:r>
      <w:proofErr w:type="spellEnd"/>
      <w:r>
        <w:t xml:space="preserve"> </w:t>
      </w:r>
      <w:proofErr w:type="spellStart"/>
      <w:r>
        <w:t>bileşenlerini</w:t>
      </w:r>
      <w:proofErr w:type="spellEnd"/>
      <w:r>
        <w:t xml:space="preserve"> </w:t>
      </w:r>
      <w:proofErr w:type="spellStart"/>
      <w:r>
        <w:t>tek</w:t>
      </w:r>
      <w:proofErr w:type="spellEnd"/>
      <w:r>
        <w:t xml:space="preserve"> </w:t>
      </w:r>
      <w:proofErr w:type="spellStart"/>
      <w:r>
        <w:t>bir</w:t>
      </w:r>
      <w:proofErr w:type="spellEnd"/>
      <w:r>
        <w:t xml:space="preserve"> </w:t>
      </w:r>
      <w:proofErr w:type="spellStart"/>
      <w:r>
        <w:t>sistemde</w:t>
      </w:r>
      <w:proofErr w:type="spellEnd"/>
      <w:r>
        <w:t xml:space="preserve"> </w:t>
      </w:r>
      <w:proofErr w:type="spellStart"/>
      <w:r>
        <w:t>birleştirerek</w:t>
      </w:r>
      <w:proofErr w:type="spellEnd"/>
      <w:r>
        <w:t xml:space="preserve"> </w:t>
      </w:r>
      <w:proofErr w:type="spellStart"/>
      <w:r>
        <w:t>daha</w:t>
      </w:r>
      <w:proofErr w:type="spellEnd"/>
      <w:r>
        <w:t xml:space="preserve"> </w:t>
      </w:r>
      <w:proofErr w:type="spellStart"/>
      <w:r>
        <w:t>kolay</w:t>
      </w:r>
      <w:proofErr w:type="spellEnd"/>
      <w:r>
        <w:t xml:space="preserve"> </w:t>
      </w:r>
      <w:proofErr w:type="spellStart"/>
      <w:r>
        <w:t>yönetmek</w:t>
      </w:r>
      <w:proofErr w:type="spellEnd"/>
      <w:r>
        <w:t xml:space="preserve"> </w:t>
      </w:r>
      <w:proofErr w:type="spellStart"/>
      <w:r>
        <w:t>üzere</w:t>
      </w:r>
      <w:proofErr w:type="spellEnd"/>
      <w:r>
        <w:t xml:space="preserve"> </w:t>
      </w:r>
      <w:proofErr w:type="spellStart"/>
      <w:r>
        <w:t>oluşturulan</w:t>
      </w:r>
      <w:proofErr w:type="spellEnd"/>
      <w:r>
        <w:t xml:space="preserve"> </w:t>
      </w:r>
      <w:proofErr w:type="spellStart"/>
      <w:r>
        <w:t>bütünleşik</w:t>
      </w:r>
      <w:proofErr w:type="spellEnd"/>
      <w:r>
        <w:t xml:space="preserve"> </w:t>
      </w:r>
      <w:proofErr w:type="spellStart"/>
      <w:r>
        <w:t>yönetim</w:t>
      </w:r>
      <w:proofErr w:type="spellEnd"/>
      <w:r>
        <w:t xml:space="preserve"> </w:t>
      </w:r>
      <w:proofErr w:type="spellStart"/>
      <w:r>
        <w:t>sistemidir</w:t>
      </w:r>
      <w:proofErr w:type="spellEnd"/>
      <w:r>
        <w:t>.</w:t>
      </w:r>
    </w:p>
    <w:p w:rsidR="00DA5503" w:rsidP="00DA5503" w:rsidRDefault="00DA5503" w14:paraId="145816C3" w14:textId="77777777">
      <w:pPr>
        <w:spacing w:after="120"/>
        <w:jc w:val="both"/>
      </w:pPr>
      <w:r w:rsidRPr="00BF7826">
        <w:rPr>
          <w:b/>
          <w:bCs/>
        </w:rPr>
        <w:t xml:space="preserve">Kalite </w:t>
      </w:r>
      <w:proofErr w:type="spellStart"/>
      <w:r w:rsidRPr="00BF7826">
        <w:rPr>
          <w:b/>
          <w:bCs/>
        </w:rPr>
        <w:t>Koordinatörlüğü</w:t>
      </w:r>
      <w:proofErr w:type="spellEnd"/>
      <w:r w:rsidRPr="00BF7826">
        <w:rPr>
          <w:b/>
          <w:bCs/>
        </w:rPr>
        <w:t>:</w:t>
      </w:r>
      <w:r>
        <w:t xml:space="preserve"> </w:t>
      </w:r>
      <w:r w:rsidRPr="006B5338">
        <w:t xml:space="preserve">Entegre </w:t>
      </w:r>
      <w:proofErr w:type="spellStart"/>
      <w:r w:rsidRPr="006B5338">
        <w:t>Yönetim</w:t>
      </w:r>
      <w:proofErr w:type="spellEnd"/>
      <w:r w:rsidRPr="006B5338">
        <w:t xml:space="preserve"> </w:t>
      </w:r>
      <w:proofErr w:type="spellStart"/>
      <w:r w:rsidRPr="006B5338">
        <w:t>Sistemi</w:t>
      </w:r>
      <w:proofErr w:type="spellEnd"/>
      <w:r w:rsidRPr="006B5338">
        <w:t xml:space="preserve"> </w:t>
      </w:r>
      <w:r>
        <w:t xml:space="preserve">(EYS) </w:t>
      </w:r>
      <w:proofErr w:type="spellStart"/>
      <w:r w:rsidRPr="006B5338">
        <w:t>standartlarının</w:t>
      </w:r>
      <w:proofErr w:type="spellEnd"/>
      <w:r w:rsidRPr="006B5338">
        <w:t xml:space="preserve"> </w:t>
      </w:r>
      <w:proofErr w:type="spellStart"/>
      <w:r w:rsidRPr="006B5338">
        <w:t>belirlenen</w:t>
      </w:r>
      <w:proofErr w:type="spellEnd"/>
      <w:r w:rsidRPr="006B5338">
        <w:t xml:space="preserve"> </w:t>
      </w:r>
      <w:proofErr w:type="spellStart"/>
      <w:r w:rsidRPr="006B5338">
        <w:t>şartları</w:t>
      </w:r>
      <w:proofErr w:type="spellEnd"/>
      <w:r w:rsidRPr="006B5338">
        <w:t xml:space="preserve"> </w:t>
      </w:r>
      <w:proofErr w:type="spellStart"/>
      <w:r w:rsidRPr="006B5338">
        <w:t>karşılaması</w:t>
      </w:r>
      <w:proofErr w:type="spellEnd"/>
      <w:r w:rsidRPr="006B5338">
        <w:t xml:space="preserve">, </w:t>
      </w:r>
      <w:proofErr w:type="spellStart"/>
      <w:r w:rsidRPr="006B5338">
        <w:t>uygunluğunun</w:t>
      </w:r>
      <w:proofErr w:type="spellEnd"/>
      <w:r w:rsidRPr="006B5338">
        <w:t>/</w:t>
      </w:r>
      <w:proofErr w:type="spellStart"/>
      <w:r w:rsidRPr="006B5338">
        <w:t>devamlılığının</w:t>
      </w:r>
      <w:proofErr w:type="spellEnd"/>
      <w:r w:rsidRPr="006B5338">
        <w:t xml:space="preserve"> </w:t>
      </w:r>
      <w:proofErr w:type="spellStart"/>
      <w:r w:rsidRPr="006B5338">
        <w:t>sağlanması</w:t>
      </w:r>
      <w:proofErr w:type="spellEnd"/>
      <w:r w:rsidRPr="006B5338">
        <w:t xml:space="preserve">, risk </w:t>
      </w:r>
      <w:proofErr w:type="spellStart"/>
      <w:r w:rsidRPr="006B5338">
        <w:t>ve</w:t>
      </w:r>
      <w:proofErr w:type="spellEnd"/>
      <w:r w:rsidRPr="006B5338">
        <w:t xml:space="preserve"> </w:t>
      </w:r>
      <w:proofErr w:type="spellStart"/>
      <w:r w:rsidRPr="006B5338">
        <w:t>fırsatların</w:t>
      </w:r>
      <w:proofErr w:type="spellEnd"/>
      <w:r w:rsidRPr="006B5338">
        <w:t xml:space="preserve"> </w:t>
      </w:r>
      <w:proofErr w:type="spellStart"/>
      <w:r w:rsidRPr="006B5338">
        <w:t>belirlenmesi</w:t>
      </w:r>
      <w:proofErr w:type="spellEnd"/>
      <w:r w:rsidRPr="006B5338">
        <w:t xml:space="preserve">, </w:t>
      </w:r>
      <w:proofErr w:type="spellStart"/>
      <w:r w:rsidRPr="006B5338">
        <w:t>süreç</w:t>
      </w:r>
      <w:proofErr w:type="spellEnd"/>
      <w:r w:rsidRPr="006B5338">
        <w:t xml:space="preserve"> </w:t>
      </w:r>
      <w:proofErr w:type="spellStart"/>
      <w:r w:rsidRPr="006B5338">
        <w:t>performanslarının</w:t>
      </w:r>
      <w:proofErr w:type="spellEnd"/>
      <w:r w:rsidRPr="006B5338">
        <w:t xml:space="preserve"> </w:t>
      </w:r>
      <w:proofErr w:type="spellStart"/>
      <w:r w:rsidRPr="006B5338">
        <w:t>ölçülmesi</w:t>
      </w:r>
      <w:proofErr w:type="spellEnd"/>
      <w:r w:rsidRPr="006B5338">
        <w:t xml:space="preserve"> </w:t>
      </w:r>
      <w:proofErr w:type="spellStart"/>
      <w:r w:rsidRPr="006B5338">
        <w:t>ve</w:t>
      </w:r>
      <w:proofErr w:type="spellEnd"/>
      <w:r w:rsidRPr="006B5338">
        <w:t xml:space="preserve"> </w:t>
      </w:r>
      <w:proofErr w:type="spellStart"/>
      <w:r w:rsidRPr="006B5338">
        <w:t>iyileştirilmesiyle</w:t>
      </w:r>
      <w:proofErr w:type="spellEnd"/>
      <w:r w:rsidRPr="006B5338">
        <w:t xml:space="preserve"> </w:t>
      </w:r>
      <w:proofErr w:type="spellStart"/>
      <w:r w:rsidRPr="006B5338">
        <w:t>ilgili</w:t>
      </w:r>
      <w:proofErr w:type="spellEnd"/>
      <w:r w:rsidRPr="006B5338">
        <w:t xml:space="preserve"> </w:t>
      </w:r>
      <w:proofErr w:type="spellStart"/>
      <w:r w:rsidRPr="006B5338">
        <w:t>çalışmaları</w:t>
      </w:r>
      <w:proofErr w:type="spellEnd"/>
      <w:r w:rsidRPr="006B5338">
        <w:t xml:space="preserve"> </w:t>
      </w:r>
      <w:proofErr w:type="spellStart"/>
      <w:r w:rsidRPr="006B5338">
        <w:t>gerçekleştiren</w:t>
      </w:r>
      <w:proofErr w:type="spellEnd"/>
      <w:r w:rsidRPr="006B5338">
        <w:t xml:space="preserve"> </w:t>
      </w:r>
      <w:proofErr w:type="spellStart"/>
      <w:r w:rsidRPr="006B5338">
        <w:t>ve</w:t>
      </w:r>
      <w:proofErr w:type="spellEnd"/>
      <w:r w:rsidRPr="006B5338">
        <w:t xml:space="preserve"> </w:t>
      </w:r>
      <w:proofErr w:type="spellStart"/>
      <w:r w:rsidRPr="006B5338">
        <w:t>üst</w:t>
      </w:r>
      <w:proofErr w:type="spellEnd"/>
      <w:r w:rsidRPr="006B5338">
        <w:t xml:space="preserve"> </w:t>
      </w:r>
      <w:proofErr w:type="spellStart"/>
      <w:r w:rsidRPr="006B5338">
        <w:t>yönetime</w:t>
      </w:r>
      <w:proofErr w:type="spellEnd"/>
      <w:r w:rsidRPr="006B5338">
        <w:t xml:space="preserve"> </w:t>
      </w:r>
      <w:proofErr w:type="spellStart"/>
      <w:r w:rsidRPr="006B5338">
        <w:t>raporlama</w:t>
      </w:r>
      <w:proofErr w:type="spellEnd"/>
      <w:r w:rsidRPr="006B5338">
        <w:t xml:space="preserve"> </w:t>
      </w:r>
      <w:proofErr w:type="spellStart"/>
      <w:r w:rsidRPr="006B5338">
        <w:t>yapan</w:t>
      </w:r>
      <w:proofErr w:type="spellEnd"/>
      <w:r w:rsidRPr="006B5338">
        <w:t xml:space="preserve"> </w:t>
      </w:r>
      <w:proofErr w:type="spellStart"/>
      <w:r w:rsidRPr="006B5338">
        <w:t>yönetim</w:t>
      </w:r>
      <w:proofErr w:type="spellEnd"/>
      <w:r w:rsidRPr="006B5338">
        <w:t xml:space="preserve"> </w:t>
      </w:r>
      <w:proofErr w:type="spellStart"/>
      <w:r w:rsidRPr="006B5338">
        <w:t>temsilcisi</w:t>
      </w:r>
      <w:r>
        <w:t>dir</w:t>
      </w:r>
      <w:proofErr w:type="spellEnd"/>
      <w:r>
        <w:t xml:space="preserve">. </w:t>
      </w:r>
      <w:proofErr w:type="spellStart"/>
      <w:r>
        <w:t>Akreditasyon</w:t>
      </w:r>
      <w:proofErr w:type="spellEnd"/>
      <w:r>
        <w:t xml:space="preserve">, Akademik </w:t>
      </w:r>
      <w:proofErr w:type="spellStart"/>
      <w:r>
        <w:t>Değerlendirme</w:t>
      </w:r>
      <w:proofErr w:type="spellEnd"/>
      <w:r>
        <w:t xml:space="preserve"> </w:t>
      </w:r>
      <w:proofErr w:type="spellStart"/>
      <w:r>
        <w:t>ve</w:t>
      </w:r>
      <w:proofErr w:type="spellEnd"/>
      <w:r>
        <w:t xml:space="preserve"> Kalite </w:t>
      </w:r>
      <w:proofErr w:type="spellStart"/>
      <w:r>
        <w:t>Koordinatörlüğünü</w:t>
      </w:r>
      <w:proofErr w:type="spellEnd"/>
      <w:r>
        <w:t xml:space="preserve"> </w:t>
      </w:r>
      <w:proofErr w:type="spellStart"/>
      <w:r>
        <w:t>ifade</w:t>
      </w:r>
      <w:proofErr w:type="spellEnd"/>
      <w:r>
        <w:t xml:space="preserve"> </w:t>
      </w:r>
      <w:proofErr w:type="spellStart"/>
      <w:r>
        <w:t>eder</w:t>
      </w:r>
      <w:proofErr w:type="spellEnd"/>
      <w:r>
        <w:t>.</w:t>
      </w:r>
    </w:p>
    <w:p w:rsidR="00825579" w:rsidRDefault="00000000" w14:paraId="6FF708A1" w14:textId="77777777">
      <w:pPr>
        <w:spacing w:after="120"/>
        <w:jc w:val="both"/>
      </w:pPr>
      <w:proofErr w:type="spellStart"/>
      <w:r>
        <w:rPr>
          <w:b/>
        </w:rPr>
        <w:t>Üst</w:t>
      </w:r>
      <w:proofErr w:type="spellEnd"/>
      <w:r>
        <w:rPr>
          <w:b/>
        </w:rPr>
        <w:t xml:space="preserve"> </w:t>
      </w:r>
      <w:proofErr w:type="spellStart"/>
      <w:r>
        <w:rPr>
          <w:b/>
        </w:rPr>
        <w:t>Yönetim</w:t>
      </w:r>
      <w:proofErr w:type="spellEnd"/>
      <w:r>
        <w:rPr>
          <w:b/>
        </w:rPr>
        <w:t>:</w:t>
      </w:r>
      <w:r>
        <w:t xml:space="preserve"> </w:t>
      </w:r>
      <w:proofErr w:type="spellStart"/>
      <w:r>
        <w:t>Rektör</w:t>
      </w:r>
      <w:proofErr w:type="spellEnd"/>
      <w:r>
        <w:t>/</w:t>
      </w:r>
      <w:proofErr w:type="spellStart"/>
      <w:r>
        <w:t>Rektör</w:t>
      </w:r>
      <w:proofErr w:type="spellEnd"/>
      <w:r>
        <w:t xml:space="preserve"> </w:t>
      </w:r>
      <w:proofErr w:type="spellStart"/>
      <w:r>
        <w:t>Yardımcıları</w:t>
      </w:r>
      <w:proofErr w:type="spellEnd"/>
      <w:r>
        <w:t>/Genel Sekreter</w:t>
      </w:r>
    </w:p>
    <w:p w:rsidR="00825579" w:rsidRDefault="00000000" w14:paraId="7312F535" w14:textId="77777777">
      <w:pPr>
        <w:spacing w:after="120"/>
        <w:jc w:val="both"/>
      </w:pPr>
      <w:r>
        <w:rPr>
          <w:b/>
        </w:rPr>
        <w:t>Birim Yöneticisi:</w:t>
      </w:r>
      <w:r>
        <w:t xml:space="preserve"> Dekan/ Müdür/ Genel Sekreter/ Daire Başkanı</w:t>
      </w:r>
    </w:p>
    <w:p w:rsidR="00825579" w:rsidRDefault="00000000" w14:paraId="3955E1AC" w14:textId="77777777">
      <w:pPr>
        <w:spacing w:after="120"/>
        <w:jc w:val="both"/>
      </w:pPr>
      <w:r>
        <w:rPr>
          <w:b/>
        </w:rPr>
        <w:t>KYS:</w:t>
      </w:r>
      <w:r>
        <w:t xml:space="preserve"> Kalite Yönetim Sistemi</w:t>
      </w:r>
    </w:p>
    <w:p w:rsidR="00825579" w:rsidRDefault="00000000" w14:paraId="2EBF6139" w14:textId="77777777">
      <w:pPr>
        <w:spacing w:after="120"/>
        <w:jc w:val="both"/>
      </w:pPr>
      <w:r>
        <w:rPr>
          <w:b/>
        </w:rPr>
        <w:t>YGG:</w:t>
      </w:r>
      <w:r>
        <w:t xml:space="preserve"> Yönetimin Gözden Geçirmesi</w:t>
      </w:r>
    </w:p>
    <w:p w:rsidR="00825579" w:rsidRDefault="00000000" w14:paraId="7F018419" w14:textId="77777777">
      <w:pPr>
        <w:spacing w:after="120"/>
      </w:pPr>
      <w:r>
        <w:rPr>
          <w:b/>
        </w:rPr>
        <w:t>4. SORUMLULAR</w:t>
      </w:r>
    </w:p>
    <w:p w:rsidR="00825579" w:rsidRDefault="00000000" w14:paraId="78359C5A" w14:textId="77777777">
      <w:pPr>
        <w:spacing w:after="120"/>
        <w:jc w:val="both"/>
      </w:pPr>
      <w:r>
        <w:t>Bu prosedürün hazırlanması ve yönetiminden Kalite Koordinatörlüğü sorumludur. Üst Yönetim, Birim Yöneticileri ve Kalite Koordinatörlüğü bu prosedürün uygulanmasından sorumludur. Yönetimin gözden geçirme toplantılarına aşağıda belirtilen sorumlu yöneticiler katılır.</w:t>
      </w:r>
    </w:p>
    <w:p w:rsidR="00825579" w:rsidRDefault="00000000" w14:paraId="3BBC30D7" w14:textId="77777777">
      <w:pPr>
        <w:spacing w:after="120"/>
        <w:jc w:val="both"/>
      </w:pPr>
      <w:r>
        <w:t>• Üst Yönetim</w:t>
      </w:r>
    </w:p>
    <w:p w:rsidR="00825579" w:rsidRDefault="00000000" w14:paraId="3DAA8398" w14:textId="4848FCD8">
      <w:pPr>
        <w:spacing w:after="120"/>
        <w:jc w:val="both"/>
      </w:pPr>
      <w:r>
        <w:t xml:space="preserve">• </w:t>
      </w:r>
      <w:proofErr w:type="spellStart"/>
      <w:r>
        <w:t>Rektör</w:t>
      </w:r>
      <w:proofErr w:type="spellEnd"/>
      <w:r>
        <w:t>/</w:t>
      </w:r>
      <w:proofErr w:type="spellStart"/>
      <w:r>
        <w:t>Rektör</w:t>
      </w:r>
      <w:proofErr w:type="spellEnd"/>
      <w:r>
        <w:t xml:space="preserve"> </w:t>
      </w:r>
      <w:proofErr w:type="spellStart"/>
      <w:r>
        <w:t>Yardımcıları</w:t>
      </w:r>
      <w:proofErr w:type="spellEnd"/>
    </w:p>
    <w:p w:rsidR="00825579" w:rsidRDefault="00000000" w14:paraId="51872FBD" w14:textId="77777777">
      <w:pPr>
        <w:spacing w:after="120"/>
        <w:jc w:val="both"/>
      </w:pPr>
      <w:r>
        <w:t>• Genel Sekreter</w:t>
      </w:r>
    </w:p>
    <w:p w:rsidR="00825579" w:rsidRDefault="00000000" w14:paraId="4A3F577A" w14:textId="3318BA6B">
      <w:pPr>
        <w:spacing w:after="120"/>
        <w:jc w:val="both"/>
      </w:pPr>
      <w:r>
        <w:t xml:space="preserve">• Kalite </w:t>
      </w:r>
      <w:proofErr w:type="spellStart"/>
      <w:r>
        <w:t>Koordinatörü</w:t>
      </w:r>
      <w:proofErr w:type="spellEnd"/>
      <w:r>
        <w:t xml:space="preserve">/Kalite </w:t>
      </w:r>
      <w:proofErr w:type="spellStart"/>
      <w:r>
        <w:t>Koordinatörü</w:t>
      </w:r>
      <w:proofErr w:type="spellEnd"/>
      <w:r>
        <w:t xml:space="preserve"> </w:t>
      </w:r>
      <w:proofErr w:type="spellStart"/>
      <w:r>
        <w:t>Yardımcıları</w:t>
      </w:r>
      <w:proofErr w:type="spellEnd"/>
    </w:p>
    <w:p w:rsidR="00825579" w:rsidRDefault="00000000" w14:paraId="7B0BB9C9" w14:textId="77777777">
      <w:pPr>
        <w:spacing w:after="120"/>
        <w:jc w:val="both"/>
      </w:pPr>
      <w:r>
        <w:t>• Fakülte Dekanları</w:t>
      </w:r>
    </w:p>
    <w:p w:rsidR="00825579" w:rsidRDefault="00000000" w14:paraId="0BE34564" w14:textId="7FB7C68D">
      <w:pPr>
        <w:spacing w:after="120"/>
        <w:jc w:val="both"/>
      </w:pPr>
      <w:r>
        <w:t xml:space="preserve">• MYO/YO </w:t>
      </w:r>
      <w:proofErr w:type="spellStart"/>
      <w:r>
        <w:t>Müdürleri</w:t>
      </w:r>
      <w:proofErr w:type="spellEnd"/>
    </w:p>
    <w:p w:rsidR="00825579" w:rsidRDefault="00000000" w14:paraId="28E9BA10" w14:textId="77777777">
      <w:pPr>
        <w:spacing w:after="120"/>
        <w:jc w:val="both"/>
      </w:pPr>
      <w:r>
        <w:t>• Enstitü Müdürleri</w:t>
      </w:r>
    </w:p>
    <w:p w:rsidR="00825579" w:rsidRDefault="00000000" w14:paraId="2993BC26" w14:textId="77777777">
      <w:pPr>
        <w:spacing w:after="120"/>
        <w:jc w:val="both"/>
      </w:pPr>
      <w:r>
        <w:t>• Daire Başkanları/Şube Müdürleri</w:t>
      </w:r>
    </w:p>
    <w:p w:rsidR="00825579" w:rsidRDefault="00000000" w14:paraId="23A5CA75" w14:textId="77777777">
      <w:pPr>
        <w:spacing w:after="120"/>
      </w:pPr>
      <w:r>
        <w:rPr>
          <w:b/>
        </w:rPr>
        <w:t>5. UYGULAMA</w:t>
      </w:r>
    </w:p>
    <w:p w:rsidR="00825579" w:rsidRDefault="00000000" w14:paraId="2A54BD60" w14:textId="77777777">
      <w:pPr>
        <w:spacing w:after="120"/>
        <w:jc w:val="both"/>
      </w:pPr>
      <w:r>
        <w:t>Giresun Üniversitesi Kalite Yönetim sistemi yılda en az bir kez YGG toplantısında değerlendirilir. Kalite Koordinatörlüğünün önerisiyle toplantı sayısı artırılabilir. Toplantıda Giresun Üniversitesi bünyesinde yürütülen KYS kapsamındaki faaliyetler KYS’ ne dâhil tüm birimlerin katıldığı bir toplantıda değerlendirilir.</w:t>
      </w:r>
    </w:p>
    <w:p w:rsidR="00825579" w:rsidRDefault="00000000" w14:paraId="0FF1E1AC" w14:textId="77777777">
      <w:pPr>
        <w:spacing w:after="120"/>
        <w:jc w:val="both"/>
      </w:pPr>
      <w:r>
        <w:lastRenderedPageBreak/>
        <w:t>Toplantıda Görüşülen Konular:</w:t>
      </w:r>
    </w:p>
    <w:p w:rsidR="00825579" w:rsidRDefault="00000000" w14:paraId="4D6B3623" w14:textId="77777777">
      <w:pPr>
        <w:spacing w:after="120"/>
        <w:jc w:val="both"/>
      </w:pPr>
      <w:r>
        <w:t>• Önceki yönetim gözden geçirmelerinde karar alınan faaliyetlerin durumu,</w:t>
      </w:r>
    </w:p>
    <w:p w:rsidR="00825579" w:rsidRDefault="00000000" w14:paraId="2508AE77" w14:textId="77777777">
      <w:pPr>
        <w:spacing w:after="120"/>
        <w:jc w:val="both"/>
      </w:pPr>
      <w:r>
        <w:t>• Kalite yönetim sistemi ile ilgili iç ve dış hususlardaki değişiklikler,</w:t>
      </w:r>
    </w:p>
    <w:p w:rsidR="00825579" w:rsidRDefault="00000000" w14:paraId="5919C539" w14:textId="77777777">
      <w:pPr>
        <w:spacing w:after="120"/>
        <w:jc w:val="both"/>
      </w:pPr>
      <w:r>
        <w:t>• Risk ve fırsatların belirlenmesi (bk. Madde 6.1) için gerçekleştirilen faaliyetlerin etkinliği,</w:t>
      </w:r>
    </w:p>
    <w:p w:rsidR="00825579" w:rsidRDefault="00000000" w14:paraId="4CB00C2D" w14:textId="77777777">
      <w:pPr>
        <w:spacing w:after="120"/>
        <w:jc w:val="both"/>
      </w:pPr>
      <w:r>
        <w:t>• İyileştirme için fırsatlar</w:t>
      </w:r>
    </w:p>
    <w:p w:rsidR="00825579" w:rsidRDefault="00000000" w14:paraId="18CFE67A" w14:textId="77777777">
      <w:pPr>
        <w:spacing w:after="120"/>
        <w:jc w:val="both"/>
      </w:pPr>
      <w:r>
        <w:t>• Aşağıdakilerle ilgili eğilimler dâhil, kalite yönetim sisteminin performansı ve etkinliği ile ilgili bilgi:</w:t>
      </w:r>
    </w:p>
    <w:p w:rsidR="00825579" w:rsidRDefault="00000000" w14:paraId="7AC99EC6" w14:textId="77777777">
      <w:pPr>
        <w:spacing w:after="120"/>
        <w:jc w:val="both"/>
      </w:pPr>
      <w:r>
        <w:t>• Müşteri memnuniyeti ve ilgili taraflardan gelen geri bildirimler,</w:t>
      </w:r>
    </w:p>
    <w:p w:rsidR="00825579" w:rsidRDefault="00000000" w14:paraId="23DD0492" w14:textId="77777777">
      <w:pPr>
        <w:spacing w:after="120"/>
        <w:jc w:val="both"/>
      </w:pPr>
      <w:r>
        <w:t>• Kalite hedeflerine erişme derecesi,</w:t>
      </w:r>
    </w:p>
    <w:p w:rsidR="00825579" w:rsidRDefault="00000000" w14:paraId="71052B6E" w14:textId="77777777">
      <w:pPr>
        <w:spacing w:after="120"/>
        <w:jc w:val="both"/>
      </w:pPr>
      <w:r>
        <w:t>• Proses performansı ile ürün ve hizmetlerin uygunluğu,</w:t>
      </w:r>
    </w:p>
    <w:p w:rsidR="00825579" w:rsidRDefault="00000000" w14:paraId="6E60055B" w14:textId="77777777">
      <w:pPr>
        <w:spacing w:after="120"/>
        <w:jc w:val="both"/>
      </w:pPr>
      <w:r>
        <w:t>• Uygunsuzluklar ve düzeltici faaliyetler,</w:t>
      </w:r>
    </w:p>
    <w:p w:rsidR="00825579" w:rsidRDefault="00000000" w14:paraId="74BA7190" w14:textId="77777777">
      <w:pPr>
        <w:spacing w:after="120"/>
        <w:jc w:val="both"/>
      </w:pPr>
      <w:r>
        <w:t>• İzleme ve ölçme sonuçları,</w:t>
      </w:r>
    </w:p>
    <w:p w:rsidR="00825579" w:rsidRDefault="00000000" w14:paraId="2FA384BE" w14:textId="77777777">
      <w:pPr>
        <w:spacing w:after="120"/>
        <w:jc w:val="both"/>
      </w:pPr>
      <w:r>
        <w:t>• Tetkik sonuçları,</w:t>
      </w:r>
    </w:p>
    <w:p w:rsidR="00825579" w:rsidRDefault="00000000" w14:paraId="2F28485D" w14:textId="77777777">
      <w:pPr>
        <w:spacing w:after="120"/>
        <w:jc w:val="both"/>
      </w:pPr>
      <w:r>
        <w:t>• Dış tedarikçilerin performansı,</w:t>
      </w:r>
    </w:p>
    <w:p w:rsidR="00825579" w:rsidRDefault="00000000" w14:paraId="376CDB5F" w14:textId="77777777">
      <w:pPr>
        <w:spacing w:after="120"/>
        <w:jc w:val="both"/>
      </w:pPr>
      <w:r>
        <w:t>• Kaynakların yeterliği.</w:t>
      </w:r>
    </w:p>
    <w:p w:rsidR="00825579" w:rsidRDefault="00000000" w14:paraId="66289F34" w14:textId="77777777">
      <w:pPr>
        <w:spacing w:after="120"/>
        <w:jc w:val="both"/>
      </w:pPr>
      <w:r>
        <w:t>YGG toplantılarının yer ve zamanı ile gündemi toplantı tarihinden en az 5 gün önce katılımcılara gönderilir. Yönetimin gözden geçirmesi iki aşamada gerçekleştirilir.</w:t>
      </w:r>
    </w:p>
    <w:p w:rsidR="00825579" w:rsidRDefault="00000000" w14:paraId="3F7089F9" w14:textId="7DB182F9">
      <w:pPr>
        <w:spacing w:after="120"/>
        <w:jc w:val="both"/>
      </w:pPr>
      <w:r>
        <w:t xml:space="preserve">Birinci aşamada ilgili birimlerdeki KYS kapsamında yürütülen faaliyetlerin Kalite Komisyonları aracılığıyla gözden geçirilmesi sağlanarak </w:t>
      </w:r>
      <w:r w:rsidRPr="00DA5503">
        <w:rPr/>
        <w:t>KYS-RPR.001 Kalite Yönetim Sistemi Birim Performans Raporu</w:t>
      </w:r>
      <w:r>
        <w:t xml:space="preserve">, Birim Kalite Komisyonları tarafından hazırlanır. Hazırlanan raporlar toplantı öncesinde Kalite Koordinatörlüğüne resmi yazı ile iletilir. Üst yönetimin de katıldığı toplantıda belirtilen gün ve saatte birim yöneticisi ya da belirlediği yönetici yardımcısı tarafından Kalite Yönetim Sistemi Birim Performans Raporu sunulur. Toplantıda görüşülen konular ve alınan tavsiye kararlar, öneriler ve talepler Kalite Koordinatörlüğü </w:t>
      </w:r>
      <w:proofErr w:type="spellStart"/>
      <w:r>
        <w:t>personel</w:t>
      </w:r>
      <w:r w:rsidR="00DA5503">
        <w:t>İ</w:t>
      </w:r>
      <w:proofErr w:type="spellEnd"/>
      <w:r>
        <w:t xml:space="preserve"> tarafından kayıt altına alınır. Ardından, Tüm birimlerden gelen raporlar/sunumlar değerlendirildikten sonra toplantıda görüşülen konular ve alınan tavsiye kararlar, öneriler ve talepler doğrultusunda </w:t>
      </w:r>
      <w:r w:rsidRPr="00DA5503">
        <w:rPr/>
        <w:t>KYS-RPR.002 Yönetimin Gözden Geçirme Raporu (YGG)</w:t>
      </w:r>
      <w:r>
        <w:t xml:space="preserve"> hazırlanır.</w:t>
      </w:r>
    </w:p>
    <w:p w:rsidR="00825579" w:rsidRDefault="00000000" w14:paraId="5B69E781" w14:textId="77777777">
      <w:pPr>
        <w:spacing w:after="120"/>
        <w:jc w:val="both"/>
      </w:pPr>
      <w:r>
        <w:t xml:space="preserve">Yönetimin gözden geçirme toplantılarının ikinci aşaması Üniversite yönetiminin gözden geçirmesi ile YGG toplantısının bitiminden bir ay içerisinde gerçekleşir. Üst yönetim ile kalite koordinatörü, koordinatör yardımcısı ve ofis personellerinin katılımı ile gerçekleştirilen toplantıda </w:t>
      </w:r>
      <w:r w:rsidRPr="00DA5503">
        <w:rPr/>
        <w:t>KYS-RPR.002 YGG Raporu</w:t>
      </w:r>
      <w:r>
        <w:t xml:space="preserve"> değerlendirilir. Gerekli olması hâlinde ilgili akademik ve idari birim yöneticileri de gerçekleştirilen toplantıya davet edilebilir. Üst yönetimle yapılan görüşmelerin ardından son hâlini alan </w:t>
      </w:r>
      <w:r w:rsidRPr="00DA5503">
        <w:rPr/>
        <w:t>KYS-RPR.002 YGG Raporu</w:t>
      </w:r>
      <w:r>
        <w:t>, tüm birimlere resmi yazı ile iletilir ve böylece birimler süreç hakkında bilgilendirilmiş olur. Böylece kurulan iki aşamalı yönetimin gözden geçirme yapısı ile akademik ve idari birimlerdeki tüm yöneticilerin KYS’nin amaca uygunluğunu, yeterliliğini ve etkinliğini sürdürmesini güvence altına alması sağlanır.</w:t>
      </w:r>
    </w:p>
    <w:p w:rsidR="00825579" w:rsidRDefault="00000000" w14:paraId="08E315BC" w14:textId="77777777">
      <w:pPr>
        <w:spacing w:after="120"/>
      </w:pPr>
      <w:r>
        <w:rPr>
          <w:b/>
        </w:rPr>
        <w:t>6. REFERANS DOKÜMANLAR</w:t>
      </w:r>
    </w:p>
    <w:p w:rsidR="00825579" w:rsidRDefault="00000000" w14:paraId="0AC586EC" w14:textId="77777777">
      <w:pPr>
        <w:spacing w:after="120"/>
        <w:jc w:val="both"/>
      </w:pPr>
      <w:r>
        <w:t>•  TS EN ISO 9001:2015 Kalite Yönetim Sistemi</w:t>
      </w:r>
    </w:p>
    <w:p w:rsidR="00825579" w:rsidRDefault="00000000" w14:paraId="56D5B2FF" w14:textId="77777777">
      <w:pPr>
        <w:spacing w:after="120"/>
        <w:jc w:val="both"/>
      </w:pPr>
      <w:r>
        <w:t>•  TS EN ISO 50001:2018 Enerji Yönetim Sistemi</w:t>
      </w:r>
    </w:p>
    <w:p w:rsidR="00825579" w:rsidRDefault="00000000" w14:paraId="5F40C15E" w14:textId="77777777">
      <w:pPr>
        <w:spacing w:after="120"/>
        <w:jc w:val="both"/>
      </w:pPr>
      <w:r>
        <w:t>•  TS ISO 46001 Su Verimliliği Yönetim Sistemi</w:t>
      </w:r>
    </w:p>
    <w:p w:rsidRPr="00DA5503" w:rsidR="00825579" w:rsidRDefault="00000000" w14:paraId="52472018" w14:textId="77777777">
      <w:pPr>
        <w:spacing w:after="120"/>
        <w:jc w:val="both"/>
        <w:rPr/>
      </w:pPr>
      <w:r w:rsidRPr="00DA5503">
        <w:rPr/>
        <w:t>• KYS-FR.008 Toplantı Katılım Formu</w:t>
      </w:r>
    </w:p>
    <w:p w:rsidRPr="00DA5503" w:rsidR="00825579" w:rsidRDefault="00000000" w14:paraId="0DA7169B" w14:textId="77777777">
      <w:pPr>
        <w:spacing w:after="120"/>
        <w:jc w:val="both"/>
        <w:rPr/>
      </w:pPr>
      <w:r w:rsidRPr="00DA5503">
        <w:rPr/>
        <w:t>• KYS-FR.009 Toplantı Gündem Maddeleri Formu</w:t>
      </w:r>
    </w:p>
    <w:p w:rsidRPr="00DA5503" w:rsidR="00825579" w:rsidRDefault="00000000" w14:paraId="5E1B02A3" w14:textId="77777777">
      <w:pPr>
        <w:spacing w:after="120"/>
        <w:jc w:val="both"/>
        <w:rPr/>
      </w:pPr>
      <w:r w:rsidRPr="00DA5503">
        <w:rPr/>
        <w:t>• KYS-RPR.001 Kalite Yönetim Sistemi Birim Performans Raporu</w:t>
      </w:r>
    </w:p>
    <w:p w:rsidR="00825579" w:rsidRDefault="00000000" w14:paraId="4D41083F" w14:textId="77777777">
      <w:pPr>
        <w:spacing w:after="120"/>
        <w:jc w:val="both"/>
      </w:pPr>
      <w:r w:rsidRPr="00DA5503">
        <w:rPr/>
        <w:t>• KYS-RPR.002 Yönetimin Gözden Geçirme Raporu</w:t>
      </w:r>
    </w:p>
    <w:sectPr w:rsidR="00825579" w:rsidSect="00034616">
      <w:headerReference w:type="default" r:id="R29c64e0711a94cd3"/>
      <w:pgSz w:w="12240" w:h="15840"/>
      <w:pgMar w:top="1134" w:right="850" w:bottom="1134" w:left="850" w:header="720" w:footer="720" w:gutter="0"/>
      <w:cols w:space="720"/>
      <w:docGrid w:linePitch="360"/>
      <w:footerReference w:type="default" r:id="R9fea424fe4344a6f"/>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4.xml><?xml version="1.0" encoding="utf-8"?>
<w:ftr xmlns:w="http://schemas.openxmlformats.org/wordprocessingml/2006/main">
  <w:tbl>
    <w:tblPr>
      <w:tblW w:w="5000" w:type="pct"/>
      <w:tblBorders>
        <w:top w:val="single" w:color="auto" w:sz="4" w:space="0"/>
        <w:bottom w:val="single" w:color="auto" w:sz="4" w:space="0"/>
        <w:left w:val="single" w:color="auto" w:sz="4" w:space="0"/>
        <w:right w:val="single" w:color="auto" w:sz="4" w:space="0"/>
        <w:insideH w:val="single" w:color="auto" w:sz="4" w:space="0"/>
        <w:insideV w:val="single" w:color="auto" w:sz="4" w:space="0"/>
      </w:tblBorders>
    </w:tblPr>
    <w:tblGrid>
      <w:gridCol w:w="4500"/>
      <w:gridCol w:w="4500"/>
    </w:tblGrid>
    <w:tr>
      <w:tc>
        <w:tcPr>
          <w:tcW w:w="4500" w:type="dxa"/>
        </w:tcPr>
        <w:p>
          <w:pPr>
            <w:jc w:val="center"/>
            <w:spacing w:before="0" w:after="0" w:line="240" w:lineRule="auto"/>
          </w:pPr>
          <w:r>
            <w:rPr>
              <w:rFonts w:ascii="Times New Roman" w:hAnsi="Times New Roman" w:eastAsia="Century Gothic"/>
              <w:b/>
              <w:sz w:val="22"/>
              <w:szCs w:val="22"/>
            </w:rPr>
            <w:t xml:space="preserve">Hazırlayan</w:t>
          </w:r>
        </w:p>
      </w:tc>
      <w:tc>
        <w:tcPr>
          <w:tcW w:w="4500" w:type="dxa"/>
        </w:tcPr>
        <w:p>
          <w:pPr>
            <w:jc w:val="center"/>
            <w:spacing w:before="0" w:after="0" w:line="240" w:lineRule="auto"/>
          </w:pPr>
          <w:r>
            <w:rPr>
              <w:rFonts w:ascii="Times New Roman" w:hAnsi="Times New Roman" w:eastAsia="Century Gothic"/>
              <w:b/>
              <w:sz w:val="22"/>
              <w:szCs w:val="22"/>
            </w:rPr>
            <w:t xml:space="preserve">Onaylayan</w:t>
          </w:r>
        </w:p>
      </w:tc>
    </w:tr>
    <w:tr>
      <w:tc>
        <w:tcPr>
          <w:tcW w:w="4500" w:type="dxa"/>
        </w:tcPr>
        <w:p>
          <w:pPr>
            <w:jc w:val="center"/>
            <w:spacing w:before="0" w:after="0" w:line="240" w:lineRule="auto"/>
          </w:pPr>
          <w:r>
            <w:rPr>
              <w:rFonts w:ascii="Times New Roman" w:hAnsi="Times New Roman" w:eastAsia="Century Gothic"/>
              <w:sz w:val="22"/>
              <w:szCs w:val="22"/>
            </w:rPr>
            <w:t xml:space="preserve">Kalite Koordinatörlüğü</w:t>
          </w:r>
        </w:p>
      </w:tc>
      <w:tc>
        <w:tcPr>
          <w:tcW w:w="4500" w:type="dxa"/>
        </w:tcPr>
        <w:p>
          <w:pPr>
            <w:jc w:val="center"/>
            <w:spacing w:before="0" w:after="0" w:line="240" w:lineRule="auto"/>
          </w:pPr>
          <w:r>
            <w:rPr>
              <w:rFonts w:ascii="Times New Roman" w:hAnsi="Times New Roman" w:eastAsia="Century Gothic"/>
              <w:sz w:val="22"/>
              <w:szCs w:val="22"/>
            </w:rPr>
            <w:t xml:space="preserve">Kalite Koordinatörlüğü</w:t>
          </w:r>
        </w:p>
      </w:tc>
    </w:tr>
  </w:tbl>
  <w:p>
    <w:pPr>
      <w:jc w:val="center"/>
      <w:spacing w:before="0" w:after="60" w:line="240" w:lineRule="auto"/>
    </w:pPr>
    <w:r>
      <w:rPr>
        <w:rFonts w:ascii="Times New Roman" w:hAnsi="Times New Roman" w:eastAsia="Century Gothic"/>
        <w:sz w:val="18"/>
        <w:szCs w:val="18"/>
        <w:i/>
        <w:color w:val="FF0000"/>
      </w:rPr>
      <w:t xml:space="preserve">Bu dokümanın basılı hali kontrolsüz doküman kabul edilmektedir. Lütfen web sitesinden en son versiyonuna ulaşınız.</w:t>
    </w:r>
  </w:p>
  <w:tbl>
    <w:tblPr>
      <w:tblW w:w="5000" w:type="pct"/>
      <w:tblBorders>
        <w:top w:val="none"/>
        <w:bottom w:val="none"/>
        <w:left w:val="none"/>
        <w:right w:val="none"/>
        <w:insideH w:val="none"/>
        <w:insideV w:val="none"/>
      </w:tblBorders>
    </w:tblPr>
    <w:tblGrid>
      <w:gridCol w:w="8000"/>
      <w:gridCol w:w="2000"/>
    </w:tblGrid>
    <w:tr>
      <w:tc>
        <w:tcPr>
          <w:tcW w:w="8000" w:type="dxa"/>
          <w:vAlign w:val="top"/>
        </w:tcPr>
        <w:p>
          <w:pPr>
            <w:spacing w:before="0" w:after="0" w:line="240" w:lineRule="auto"/>
          </w:pPr>
          <w:r>
            <w:rPr>
              <w:rFonts w:ascii="Times New Roman" w:hAnsi="Times New Roman" w:eastAsia="Century Gothic"/>
              <w:sz w:val="16"/>
              <w:szCs w:val="16"/>
            </w:rPr>
            <w:t>KYS-PRO.005, R00, 17.07.2026</w:t>
          </w:r>
        </w:p>
        <w:p>
          <w:pPr>
            <w:spacing w:before="0" w:after="0" w:line="240" w:lineRule="auto"/>
          </w:pPr>
          <w:hyperlink xmlns:r="http://schemas.openxmlformats.org/officeDocument/2006/relationships" w:history="true" r:id="R3f1f189efa694498">
            <w:r>
              <w:rPr>
                <w:rFonts w:ascii="Times New Roman" w:hAnsi="Times New Roman" w:eastAsia="Century Gothic"/>
                <w:sz w:val="16"/>
                <w:szCs w:val="16"/>
                <w:color w:val="0563C1"/>
                <w:u w:val="single"/>
              </w:rPr>
              <w:t>kvys.giresun.edu.tr/dg/281</w:t>
            </w:r>
          </w:hyperlink>
        </w:p>
      </w:tc>
      <w:tc>
        <w:tcPr>
          <w:tcW w:w="2000" w:type="dxa"/>
          <w:vAlign w:val="top"/>
        </w:tcPr>
        <w:p>
          <w:pPr>
            <w:jc w:val="right"/>
            <w:spacing w:before="0" w:after="0" w:line="240" w:lineRule="auto"/>
          </w:pPr>
          <w:r>
            <w:rPr>
              <w:rFonts w:ascii="Arial" w:hAnsi="Arial" w:cs="Arial"/>
              <w:noProof/>
            </w:rPr>
            <w:drawing>
              <wp:inline xmlns:wp="http://schemas.openxmlformats.org/drawingml/2006/wordprocessingDrawing" distT="0" distB="0" distL="0" distR="0">
                <wp:extent cx="540000" cy="540000"/>
                <wp:effectExtent l="0" t="0" r="0" b="0"/>
                <wp:docPr id="2" name="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
                        <pic:cNvPicPr>
                          <a:picLocks noChangeAspect="1" noChangeArrowheads="1"/>
                        </pic:cNvPicPr>
                      </pic:nvPicPr>
                      <pic:blipFill>
                        <a:blip xmlns:r="http://schemas.openxmlformats.org/officeDocument/2006/relationships" r:embed="Rcec660474fa04b7d" cstate="print"/>
                        <a:srcRect/>
                        <a:stretch>
                          <a:fillRect/>
                        </a:stretch>
                      </pic:blipFill>
                      <pic:spPr bwMode="auto">
                        <a:xfrm>
                          <a:off x="0" y="0"/>
                          <a:ext cx="540000" cy="540000"/>
                        </a:xfrm>
                        <a:prstGeom prst="rect">
                          <a:avLst/>
                        </a:prstGeom>
                        <a:noFill/>
                        <a:ln>
                          <a:noFill/>
                        </a:ln>
                      </pic:spPr>
                    </pic:pic>
                  </a:graphicData>
                </a:graphic>
              </wp:inline>
            </w:drawing>
          </w:r>
        </w:p>
        <w:p>
          <w:pPr>
            <w:jc w:val="right"/>
            <w:spacing w:before="0" w:after="0" w:line="240" w:lineRule="auto"/>
          </w:pPr>
          <w:r>
            <w:rPr>
              <w:rFonts w:ascii="Times New Roman" w:hAnsi="Times New Roman" w:eastAsia="Century Gothic"/>
              <w:sz w:val="16"/>
              <w:szCs w:val="16"/>
            </w:rPr>
            <w:t xml:space="preserve">Sayfa </w:t>
          </w:r>
          <w:r>
            <w:rPr>
              <w:rFonts w:ascii="Times New Roman" w:hAnsi="Times New Roman" w:eastAsia="Century Gothic"/>
              <w:sz w:val="16"/>
              <w:szCs w:val="16"/>
            </w:rPr>
            <w:fldChar w:fldCharType="begin"/>
          </w:r>
          <w:r>
            <w:rPr>
              <w:rFonts w:ascii="Times New Roman" w:hAnsi="Times New Roman" w:eastAsia="Century Gothic"/>
              <w:sz w:val="16"/>
              <w:szCs w:val="16"/>
            </w:rPr>
            <w:instrText>PAGE   \* MERGEFORMAT</w:instrText>
          </w:r>
          <w:r>
            <w:rPr>
              <w:rFonts w:ascii="Times New Roman" w:hAnsi="Times New Roman" w:eastAsia="Century Gothic"/>
              <w:sz w:val="16"/>
              <w:szCs w:val="16"/>
            </w:rPr>
            <w:fldChar w:fldCharType="separate"/>
          </w:r>
          <w:r>
            <w:rPr>
              <w:rFonts w:ascii="Times New Roman" w:hAnsi="Times New Roman" w:eastAsia="Century Gothic"/>
              <w:sz w:val="16"/>
              <w:szCs w:val="16"/>
              <w:noProof/>
            </w:rPr>
            <w:t>1</w:t>
          </w:r>
          <w:r>
            <w:rPr>
              <w:rFonts w:ascii="Times New Roman" w:hAnsi="Times New Roman" w:eastAsia="Century Gothic"/>
              <w:sz w:val="16"/>
              <w:szCs w:val="16"/>
            </w:rPr>
            <w:fldChar w:fldCharType="end"/>
          </w:r>
          <w:r>
            <w:rPr>
              <w:rFonts w:ascii="Times New Roman" w:hAnsi="Times New Roman" w:eastAsia="Century Gothic"/>
              <w:sz w:val="16"/>
              <w:szCs w:val="16"/>
            </w:rPr>
            <w:t> / </w:t>
          </w:r>
          <w:r>
            <w:rPr>
              <w:rFonts w:ascii="Times New Roman" w:hAnsi="Times New Roman" w:eastAsia="Century Gothic"/>
              <w:sz w:val="16"/>
              <w:szCs w:val="16"/>
            </w:rPr>
            <w:fldChar w:fldCharType="begin"/>
          </w:r>
          <w:r>
            <w:rPr>
              <w:rFonts w:ascii="Times New Roman" w:hAnsi="Times New Roman" w:eastAsia="Century Gothic"/>
              <w:sz w:val="16"/>
              <w:szCs w:val="16"/>
            </w:rPr>
            <w:instrText>NUMPAGES   \* MERGEFORMAT</w:instrText>
          </w:r>
          <w:r>
            <w:rPr>
              <w:rFonts w:ascii="Times New Roman" w:hAnsi="Times New Roman" w:eastAsia="Century Gothic"/>
              <w:sz w:val="16"/>
              <w:szCs w:val="16"/>
            </w:rPr>
            <w:fldChar w:fldCharType="separate"/>
          </w:r>
          <w:r>
            <w:rPr>
              <w:rFonts w:ascii="Times New Roman" w:hAnsi="Times New Roman" w:eastAsia="Century Gothic"/>
              <w:sz w:val="16"/>
              <w:szCs w:val="16"/>
              <w:noProof/>
            </w:rPr>
            <w:t>1</w:t>
          </w:r>
          <w:r>
            <w:rPr>
              <w:rFonts w:ascii="Times New Roman" w:hAnsi="Times New Roman" w:eastAsia="Century Gothic"/>
              <w:sz w:val="16"/>
              <w:szCs w:val="16"/>
            </w:rPr>
            <w:fldChar w:fldCharType="end"/>
          </w:r>
        </w:p>
      </w:tc>
    </w:tr>
  </w:tbl>
  <w:p>
    <w:pPr>
      <w:spacing w:before="0" w:after="0" w:line="240" w:lineRule="auto"/>
    </w:pPr>
  </w:p>
</w:ftr>
</file>

<file path=word/header4.xml><?xml version="1.0" encoding="utf-8"?>
<w:hdr xmlns:w="http://schemas.openxmlformats.org/wordprocessingml/2006/main">
  <w:tbl>
    <w:tblPr>
      <w:tblStyle w:val="TabloKlavuzu"/>
      <w:jc w:val="center"/>
      <w:tblW w:w="5000" w:type="pct"/>
      <w:tblBorders>
        <w:top w:val="single" w:sz="4"/>
        <w:bottom w:val="single" w:sz="4"/>
        <w:left w:val="single" w:sz="4"/>
        <w:right w:val="single" w:sz="4"/>
        <w:insideH w:val="single" w:sz="4"/>
        <w:insideV w:val="single" w:sz="4"/>
      </w:tblBorders>
      <w:tblLook w:val="04A0" w:firstRow="true" w:lastRow="false" w:firstColumn="true" w:lastColumn="false" w:noHBand="false" w:noVBand="true"/>
    </w:tblPr>
    <w:tblGrid>
      <w:gridCol w:w="1566"/>
      <w:gridCol w:w="5411"/>
      <w:gridCol w:w="1541"/>
      <w:gridCol w:w="1491"/>
    </w:tblGrid>
    <w:tr>
      <w:trPr>
        <w:trHeight w:val="272"/>
      </w:trPr>
      <w:tc>
        <w:tcPr>
          <w:tcW w:w="1566" w:type="dxa"/>
          <w:vMerge w:val="restart"/>
          <w:vAlign w:val="center"/>
        </w:tcPr>
        <w:p>
          <w:pPr>
            <w:jc w:val="center"/>
            <w:spacing w:before="0" w:after="0" w:line="240" w:lineRule="auto"/>
          </w:pPr>
          <w:r>
            <w:rPr>
              <w:rFonts w:ascii="Arial" w:hAnsi="Arial" w:eastAsia="Century Gothic" w:cs="Arial"/>
              <w:noProof/>
              <w:sz w:val="29"/>
              <w:szCs w:val="29"/>
              <w:lang w:eastAsia="tr-TR"/>
            </w:rPr>
            <w:drawing>
              <wp:inline xmlns:wp="http://schemas.openxmlformats.org/drawingml/2006/wordprocessingDrawing" distT="0" distB="0" distL="0" distR="0">
                <wp:extent cx="854000" cy="854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7da2f6b7e4474bed" cstate="print"/>
                        <a:srcRect/>
                        <a:stretch>
                          <a:fillRect/>
                        </a:stretch>
                      </pic:blipFill>
                      <pic:spPr bwMode="auto">
                        <a:xfrm>
                          <a:off x="0" y="0"/>
                          <a:ext cx="854000" cy="854000"/>
                        </a:xfrm>
                        <a:prstGeom prst="rect">
                          <a:avLst/>
                        </a:prstGeom>
                        <a:noFill/>
                        <a:ln>
                          <a:noFill/>
                        </a:ln>
                      </pic:spPr>
                    </pic:pic>
                  </a:graphicData>
                </a:graphic>
              </wp:inline>
            </w:drawing>
          </w:r>
        </w:p>
      </w:tc>
      <w:tc>
        <w:tcPr>
          <w:tcW w:w="5411" w:type="dxa"/>
          <w:vMerge w:val="restart"/>
          <w:vAlign w:val="center"/>
        </w:tcPr>
        <w:p>
          <w:pPr>
            <w:jc w:val="center"/>
            <w:spacing w:before="0" w:after="0" w:line="240" w:lineRule="auto"/>
          </w:pPr>
          <w:r>
            <w:rPr>
              <w:rFonts w:ascii="Times New Roman" w:hAnsi="Times New Roman" w:eastAsia="Century Gothic"/>
              <w:b/>
              <w:sz w:val="24"/>
              <w:szCs w:val="24"/>
            </w:rPr>
            <w:t>T.C.</w:t>
          </w:r>
        </w:p>
        <w:p>
          <w:pPr>
            <w:jc w:val="center"/>
            <w:spacing w:before="0" w:after="0" w:line="240" w:lineRule="auto"/>
          </w:pPr>
          <w:r>
            <w:rPr>
              <w:rFonts w:ascii="Times New Roman" w:hAnsi="Times New Roman" w:eastAsia="Century Gothic"/>
              <w:b/>
              <w:sz w:val="24"/>
              <w:szCs w:val="24"/>
            </w:rPr>
            <w:t>GİRESUN ÜNİVERSİTESİ</w:t>
          </w:r>
        </w:p>
        <w:p>
          <w:pPr>
            <w:jc w:val="center"/>
            <w:spacing w:before="0" w:after="0" w:line="240" w:lineRule="auto"/>
          </w:pPr>
          <w:r>
            <w:rPr>
              <w:rFonts w:ascii="Times New Roman" w:hAnsi="Times New Roman" w:eastAsia="Century Gothic"/>
              <w:b/>
              <w:sz w:val="24"/>
              <w:szCs w:val="24"/>
            </w:rPr>
            <w:t>Yönetimin Gözden Geçirmesi Prosedürü</w:t>
          </w:r>
        </w:p>
      </w:tc>
      <w:tc>
        <w:tcPr>
          <w:tcW w:w="1541" w:type="dxa"/>
          <w:vAlign w:val="center"/>
        </w:tcPr>
        <w:p>
          <w:pPr>
            <w:spacing w:before="0" w:after="0" w:line="240" w:lineRule="auto"/>
          </w:pPr>
          <w:r>
            <w:rPr>
              <w:rFonts w:ascii="Times New Roman" w:hAnsi="Times New Roman" w:eastAsia="Century Gothic"/>
              <w:sz w:val="20"/>
              <w:szCs w:val="20"/>
            </w:rPr>
            <w:t>Doküman No</w:t>
          </w:r>
        </w:p>
      </w:tc>
      <w:tc>
        <w:tcPr>
          <w:tcW w:w="1491" w:type="dxa"/>
          <w:vAlign w:val="center"/>
        </w:tcPr>
        <w:p>
          <w:pPr>
            <w:spacing w:before="0" w:after="0" w:line="240" w:lineRule="auto"/>
          </w:pPr>
          <w:r>
            <w:rPr>
              <w:rFonts w:ascii="Times New Roman" w:hAnsi="Times New Roman"/>
              <w:sz w:val="20"/>
              <w:szCs w:val="20"/>
            </w:rPr>
            <w:t>KYS-PRO.005</w:t>
          </w:r>
        </w:p>
      </w:tc>
    </w:tr>
    <w:tr>
      <w:trPr>
        <w:trHeight w:val="272"/>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İlk Yayın Tarihi</w:t>
          </w:r>
        </w:p>
      </w:tc>
      <w:tc>
        <w:tcPr>
          <w:tcW w:w="1491" w:type="dxa"/>
          <w:vAlign w:val="center"/>
        </w:tcPr>
        <w:p>
          <w:pPr>
            <w:spacing w:before="0" w:after="0" w:line="240" w:lineRule="auto"/>
          </w:pPr>
          <w:r>
            <w:rPr>
              <w:rFonts w:ascii="Times New Roman" w:hAnsi="Times New Roman"/>
              <w:sz w:val="20"/>
              <w:szCs w:val="20"/>
            </w:rPr>
            <w:t>17.07.2026</w:t>
          </w:r>
        </w:p>
      </w:tc>
    </w:tr>
    <w:tr>
      <w:trPr>
        <w:trHeight w:val="286"/>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Revizyon Tarihi</w:t>
          </w:r>
        </w:p>
      </w:tc>
      <w:tc>
        <w:tcPr>
          <w:tcW w:w="1491" w:type="dxa"/>
          <w:vAlign w:val="center"/>
        </w:tcPr>
        <w:p>
          <w:pPr>
            <w:spacing w:before="0" w:after="0" w:line="240" w:lineRule="auto"/>
          </w:pPr>
          <w:r>
            <w:rPr>
              <w:rFonts w:ascii="Times New Roman" w:hAnsi="Times New Roman"/>
              <w:sz w:val="20"/>
              <w:szCs w:val="20"/>
            </w:rPr>
            <w:t/>
          </w:r>
        </w:p>
      </w:tc>
    </w:tr>
    <w:tr>
      <w:trPr>
        <w:trHeight w:val="286"/>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Revizyon No</w:t>
          </w:r>
        </w:p>
      </w:tc>
      <w:tc>
        <w:tcPr>
          <w:tcW w:w="1491" w:type="dxa"/>
          <w:vAlign w:val="center"/>
        </w:tcPr>
        <w:p>
          <w:pPr>
            <w:spacing w:before="0" w:after="0" w:line="240" w:lineRule="auto"/>
          </w:pPr>
          <w:r>
            <w:rPr>
              <w:rFonts w:ascii="Times New Roman" w:hAnsi="Times New Roman"/>
              <w:sz w:val="20"/>
              <w:szCs w:val="20"/>
            </w:rPr>
            <w:t>00</w:t>
          </w:r>
        </w:p>
      </w:tc>
    </w:tr>
    <w:tr>
      <w:trPr>
        <w:trHeight w:val="272"/>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Sayfa No</w:t>
          </w:r>
        </w:p>
      </w:tc>
      <w:tc>
        <w:tcPr>
          <w:tcW w:w="1491" w:type="dxa"/>
          <w:vAlign w:val="center"/>
        </w:tcPr>
        <w:p>
          <w:pPr>
            <w:spacing w:before="0" w:after="0" w:line="240" w:lineRule="auto"/>
          </w:pPr>
          <w:r>
            <w:rPr>
              <w:rFonts w:ascii="Times New Roman" w:hAnsi="Times New Roman" w:eastAsia="Century Gothic"/>
              <w:sz w:val="20"/>
              <w:szCs w:val="20"/>
            </w:rPr>
            <w:fldChar w:fldCharType="begin"/>
          </w:r>
          <w:r>
            <w:rPr>
              <w:rFonts w:ascii="Times New Roman" w:hAnsi="Times New Roman" w:eastAsia="Century Gothic"/>
              <w:sz w:val="20"/>
              <w:szCs w:val="20"/>
            </w:rPr>
            <w:instrText>PAGE   \* MERGEFORMAT</w:instrText>
          </w:r>
          <w:r>
            <w:rPr>
              <w:rFonts w:ascii="Times New Roman" w:hAnsi="Times New Roman" w:eastAsia="Century Gothic"/>
              <w:sz w:val="20"/>
              <w:szCs w:val="20"/>
            </w:rPr>
            <w:fldChar w:fldCharType="separate"/>
          </w:r>
          <w:r>
            <w:rPr>
              <w:rFonts w:ascii="Times New Roman" w:hAnsi="Times New Roman" w:eastAsia="Century Gothic"/>
              <w:sz w:val="20"/>
              <w:szCs w:val="20"/>
              <w:noProof/>
            </w:rPr>
            <w:t>1</w:t>
          </w:r>
          <w:r>
            <w:rPr>
              <w:rFonts w:ascii="Times New Roman" w:hAnsi="Times New Roman" w:eastAsia="Century Gothic"/>
              <w:sz w:val="20"/>
              <w:szCs w:val="20"/>
            </w:rPr>
            <w:fldChar w:fldCharType="end"/>
          </w:r>
          <w:r>
            <w:rPr>
              <w:rFonts w:ascii="Times New Roman" w:hAnsi="Times New Roman" w:eastAsia="Century Gothic"/>
              <w:sz w:val="20"/>
              <w:szCs w:val="20"/>
            </w:rPr>
            <w:t>/</w:t>
          </w:r>
          <w:r>
            <w:rPr>
              <w:rFonts w:ascii="Times New Roman" w:hAnsi="Times New Roman" w:eastAsia="Century Gothic"/>
              <w:sz w:val="20"/>
              <w:szCs w:val="20"/>
            </w:rPr>
            <w:fldChar w:fldCharType="begin"/>
          </w:r>
          <w:r>
            <w:rPr>
              <w:rFonts w:ascii="Times New Roman" w:hAnsi="Times New Roman" w:eastAsia="Century Gothic"/>
              <w:sz w:val="20"/>
              <w:szCs w:val="20"/>
            </w:rPr>
            <w:instrText>NUMPAGES   \* MERGEFORMAT</w:instrText>
          </w:r>
          <w:r>
            <w:rPr>
              <w:rFonts w:ascii="Times New Roman" w:hAnsi="Times New Roman" w:eastAsia="Century Gothic"/>
              <w:sz w:val="20"/>
              <w:szCs w:val="20"/>
            </w:rPr>
            <w:fldChar w:fldCharType="separate"/>
          </w:r>
          <w:r>
            <w:rPr>
              <w:rFonts w:ascii="Times New Roman" w:hAnsi="Times New Roman" w:eastAsia="Century Gothic"/>
              <w:sz w:val="20"/>
              <w:szCs w:val="20"/>
              <w:noProof/>
            </w:rPr>
            <w:t>1</w:t>
          </w:r>
          <w:r>
            <w:rPr>
              <w:rFonts w:ascii="Times New Roman" w:hAnsi="Times New Roman" w:eastAsia="Century Gothic"/>
              <w:sz w:val="20"/>
              <w:szCs w:val="20"/>
            </w:rPr>
            <w:fldChar w:fldCharType="end"/>
          </w:r>
        </w:p>
      </w:tc>
    </w:tr>
  </w:tbl>
  <w:p>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928029883">
    <w:abstractNumId w:val="8"/>
  </w:num>
  <w:num w:numId="2" w16cid:durableId="4210371">
    <w:abstractNumId w:val="6"/>
  </w:num>
  <w:num w:numId="3" w16cid:durableId="1829785868">
    <w:abstractNumId w:val="5"/>
  </w:num>
  <w:num w:numId="4" w16cid:durableId="1528638862">
    <w:abstractNumId w:val="4"/>
  </w:num>
  <w:num w:numId="5" w16cid:durableId="1432780150">
    <w:abstractNumId w:val="7"/>
  </w:num>
  <w:num w:numId="6" w16cid:durableId="815339638">
    <w:abstractNumId w:val="3"/>
  </w:num>
  <w:num w:numId="7" w16cid:durableId="1522207212">
    <w:abstractNumId w:val="2"/>
  </w:num>
  <w:num w:numId="8" w16cid:durableId="397213777">
    <w:abstractNumId w:val="1"/>
  </w:num>
  <w:num w:numId="9" w16cid:durableId="2144805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61AF3"/>
    <w:rsid w:val="00825579"/>
    <w:rsid w:val="00AA1D8D"/>
    <w:rsid w:val="00B47730"/>
    <w:rsid w:val="00CB0664"/>
    <w:rsid w:val="00DA550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E3908D"/>
  <w14:defaultImageDpi w14:val="300"/>
  <w15:docId w15:val="{6E07AEB4-2724-7249-BB1B-D674D147C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header" Target="/word/header4.xml" Id="R29c64e0711a94cd3" /><Relationship Type="http://schemas.openxmlformats.org/officeDocument/2006/relationships/footer" Target="/word/footer4.xml" Id="R9fea424fe4344a6f" /></Relationships>
</file>

<file path=word/_rels/footer4.xml.rels>&#65279;<?xml version="1.0" encoding="utf-8"?><Relationships xmlns="http://schemas.openxmlformats.org/package/2006/relationships"><Relationship Type="http://schemas.openxmlformats.org/officeDocument/2006/relationships/image" Target="/media/image2.png" Id="Rcec660474fa04b7d" /><Relationship Type="http://schemas.openxmlformats.org/officeDocument/2006/relationships/hyperlink" Target="https://kvys.giresun.edu.tr/dg/281" TargetMode="External" Id="R3f1f189efa694498" /></Relationships>
</file>

<file path=word/_rels/header4.xml.rels>&#65279;<?xml version="1.0" encoding="utf-8"?><Relationships xmlns="http://schemas.openxmlformats.org/package/2006/relationships"><Relationship Type="http://schemas.openxmlformats.org/officeDocument/2006/relationships/image" Target="/media/image.png" Id="R7da2f6b7e4474be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804</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sipahi</cp:lastModifiedBy>
  <cp:revision>2</cp:revision>
  <dcterms:created xsi:type="dcterms:W3CDTF">2013-12-23T23:15:00Z</dcterms:created>
  <dcterms:modified xsi:type="dcterms:W3CDTF">2026-06-17T05:54:00Z</dcterms:modified>
  <cp:category/>
</cp:coreProperties>
</file>