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4.xml" ContentType="application/vnd.openxmlformats-officedocument.wordprocessingml.foot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653E1D" w:rsidRDefault="00000000" w14:paraId="39C5E587" w14:textId="77777777">
      <w:r>
        <w:rPr>
          <w:b/>
        </w:rPr>
        <w:t>1. AMAÇ</w:t>
      </w:r>
    </w:p>
    <w:p w:rsidR="00653E1D" w:rsidRDefault="00000000" w14:paraId="78033685" w14:textId="77777777">
      <w:pPr>
        <w:jc w:val="both"/>
      </w:pPr>
      <w:r>
        <w:t>Bu prosedürün amacı; Üniversitemizde Entegre Yönetim Sistemi çerçevesinde, öğretim elemanlarının eğitim-öğretim programlarını yürürlükteki kalite standartları ile Yükseköğretim Kalite Kurulu (YÖKAK) ölçütleri doğrultusunda planlayıp yürütebilecek eğiticilik yeterliklerini (bilgi, beceri, tutum ve davranış) kazanmalarını sağlamak ve bu yeterliklerin belgelendirilmesine ilişkin uygulama esaslarını tanımlamaktır.</w:t>
      </w:r>
    </w:p>
    <w:p w:rsidR="00653E1D" w:rsidRDefault="00000000" w14:paraId="2E4F7B49" w14:textId="77777777">
      <w:r>
        <w:rPr>
          <w:b/>
        </w:rPr>
        <w:t>2. KAPSAM</w:t>
      </w:r>
    </w:p>
    <w:p w:rsidR="00653E1D" w:rsidRDefault="00000000" w14:paraId="3A3979CF" w14:textId="77777777">
      <w:pPr>
        <w:jc w:val="both"/>
      </w:pPr>
      <w:r>
        <w:t xml:space="preserve">Bu prosedür; TS EN ISO 9001:2015 Kalite, TS EN ISO 50001:2018 Enerji ve TS ISO 46001 Su Verimliliği Yönetim Sistemi standartlarını kapsayan </w:t>
      </w:r>
      <w:r>
        <w:rPr>
          <w:b/>
        </w:rPr>
        <w:t>Entegre Yönetim Sistemi (EYS)</w:t>
      </w:r>
      <w:r>
        <w:t xml:space="preserve"> çerçevesinde uygulanır.</w:t>
      </w:r>
    </w:p>
    <w:p w:rsidR="00653E1D" w:rsidRDefault="00000000" w14:paraId="4A02CF51" w14:textId="77777777">
      <w:pPr>
        <w:jc w:val="both"/>
      </w:pPr>
      <w:r>
        <w:t>Üniversitemizde görev yapan öğretim elemanları ile ihtiyaç hâlinde ders veren diğer akademik personeli; Eğiticilerin Eğitimi Programı kapsamındaki eğitim içeriği, eğiticiler, katılımcılar, uygulama yöntemi, ölçme-değerlendirme, sertifikasyon ve görevli birimlere ilişkin tüm faaliyetleri kapsar.</w:t>
      </w:r>
    </w:p>
    <w:p w:rsidR="00653E1D" w:rsidRDefault="00000000" w14:paraId="68D83D73" w14:textId="77777777">
      <w:r>
        <w:rPr>
          <w:b/>
        </w:rPr>
        <w:t>3. TANIMLAR VE KISALTMALAR</w:t>
      </w:r>
    </w:p>
    <w:p w:rsidR="00653E1D" w:rsidRDefault="00000000" w14:paraId="4ABA5B9D" w14:textId="77777777">
      <w:pPr>
        <w:jc w:val="both"/>
      </w:pPr>
      <w:r>
        <w:rPr>
          <w:b/>
        </w:rPr>
        <w:t>Entegre Yönetim Sistemi (EYS):</w:t>
      </w:r>
      <w:r>
        <w:t xml:space="preserve"> Üniversitenin politika, hedef ve süreçlerini; TS EN ISO 9001:2015 Kalite, TS EN ISO 50001:2018 Enerji ve TS ISO 46001 Su Verimliliği Yönetim Sistemi standartlarının ilgili bileşenlerini tek bir sistemde birleştirerek daha kolay yönetmek üzere oluşturulan bütünleşik yönetim sistemidir.</w:t>
      </w:r>
    </w:p>
    <w:p w:rsidR="00653E1D" w:rsidRDefault="00000000" w14:paraId="6A597305" w14:textId="77777777">
      <w:pPr>
        <w:jc w:val="both"/>
      </w:pPr>
      <w:r>
        <w:rPr>
          <w:b/>
        </w:rPr>
        <w:t>Kalite Koordinatörlüğü:</w:t>
      </w:r>
      <w:r>
        <w:t xml:space="preserve"> EYS standartlarının belirlenen şartları karşılaması, uygunluğunun/devamlılığının sağlanması, süreç performanslarının ölçülmesi ve iyileştirilmesiyle ilgili çalışmaları gerçekleştiren ve üst yönetime raporlama yapan yönetim temsilcisidir. Akreditasyon, Akademik Değerlendirme ve Kalite Koordinatörlüğünü ifade eder.</w:t>
      </w:r>
    </w:p>
    <w:p w:rsidR="00653E1D" w:rsidRDefault="00000000" w14:paraId="049E709E" w14:textId="77777777">
      <w:pPr>
        <w:jc w:val="both"/>
      </w:pPr>
      <w:r>
        <w:rPr>
          <w:b/>
        </w:rPr>
        <w:t>GÜSEM:</w:t>
      </w:r>
      <w:r>
        <w:t xml:space="preserve"> Giresun Üniversitesi Sürekli Eğitim Uygulama ve Araştırma Merkezini ifade eder.</w:t>
      </w:r>
    </w:p>
    <w:p w:rsidR="00653E1D" w:rsidRDefault="00000000" w14:paraId="4D532328" w14:textId="77777777">
      <w:pPr>
        <w:jc w:val="both"/>
      </w:pPr>
      <w:r>
        <w:rPr>
          <w:b/>
        </w:rPr>
        <w:t>GRUZEM:</w:t>
      </w:r>
      <w:r>
        <w:t xml:space="preserve"> Giresun Üniversitesi Uzaktan Eğitim Uygulama ve Araştırma Merkezini ifade eder.</w:t>
      </w:r>
    </w:p>
    <w:p w:rsidR="00653E1D" w:rsidRDefault="00000000" w14:paraId="0978937F" w14:textId="77777777">
      <w:pPr>
        <w:jc w:val="both"/>
      </w:pPr>
      <w:r>
        <w:rPr>
          <w:b/>
        </w:rPr>
        <w:t>Kalite Komisyonu:</w:t>
      </w:r>
      <w:r>
        <w:t xml:space="preserve"> Giresun Üniversitesi Kalite Komisyonunu ifade eder.</w:t>
      </w:r>
    </w:p>
    <w:p w:rsidR="00653E1D" w:rsidRDefault="00000000" w14:paraId="71BF1A11" w14:textId="77777777">
      <w:pPr>
        <w:jc w:val="both"/>
      </w:pPr>
      <w:r>
        <w:rPr>
          <w:b/>
        </w:rPr>
        <w:t>Eğitici:</w:t>
      </w:r>
      <w:r>
        <w:t xml:space="preserve"> GÜSEM tarafından kurum içinden veya kurum dışından görevlendirilen; alan uzmanlığı, pedagojik yeterlik ve öğretim deneyimine sahip öğretim elemanı veya uzmanı ifade eder.</w:t>
      </w:r>
    </w:p>
    <w:p w:rsidR="00653E1D" w:rsidRDefault="00000000" w14:paraId="4B580173" w14:textId="77777777">
      <w:pPr>
        <w:jc w:val="both"/>
      </w:pPr>
      <w:r>
        <w:rPr>
          <w:b/>
        </w:rPr>
        <w:t>Katılımcı:</w:t>
      </w:r>
      <w:r>
        <w:t xml:space="preserve"> Üniversite öğretim elemanları ile ihtiyaç hâlinde ders veren diğer akademik personeli ifade eder.</w:t>
      </w:r>
    </w:p>
    <w:p w:rsidR="00653E1D" w:rsidRDefault="00000000" w14:paraId="0A3C7B9D" w14:textId="77777777">
      <w:pPr>
        <w:jc w:val="both"/>
      </w:pPr>
      <w:r>
        <w:rPr>
          <w:b/>
        </w:rPr>
        <w:t>Başarı Sertifikası:</w:t>
      </w:r>
      <w:r>
        <w:t xml:space="preserve"> Programı başarıyla tamamlayan katılımcıya verilen belgeyi ifade eder.</w:t>
      </w:r>
    </w:p>
    <w:p w:rsidR="00653E1D" w:rsidRDefault="00000000" w14:paraId="4D5ED98D" w14:textId="77777777">
      <w:pPr>
        <w:jc w:val="both"/>
      </w:pPr>
      <w:r>
        <w:rPr>
          <w:b/>
        </w:rPr>
        <w:t>Birim Yöneticisi:</w:t>
      </w:r>
      <w:r>
        <w:t xml:space="preserve"> Fakülte dekanlarını; yüksekokul, enstitü, meslek yüksekokulu ve konservatuvar müdürlerini ifade eder.</w:t>
      </w:r>
    </w:p>
    <w:p w:rsidR="00653E1D" w:rsidRDefault="00000000" w14:paraId="4ACCD3CF" w14:textId="77777777">
      <w:pPr>
        <w:jc w:val="both"/>
      </w:pPr>
      <w:r>
        <w:rPr>
          <w:b/>
        </w:rPr>
        <w:t>PUKÖ:</w:t>
      </w:r>
      <w:r>
        <w:t xml:space="preserve"> Planla-Uygula-Kontrol Et-Önlem Al döngüsünü ifade eder.</w:t>
      </w:r>
    </w:p>
    <w:p w:rsidR="00653E1D" w:rsidRDefault="00000000" w14:paraId="2EE68105" w14:textId="77777777">
      <w:pPr>
        <w:jc w:val="both"/>
      </w:pPr>
      <w:r>
        <w:rPr>
          <w:b/>
        </w:rPr>
        <w:t>YÖKAK:</w:t>
      </w:r>
      <w:r>
        <w:t xml:space="preserve"> Yükseköğretim Kalite Kurulunu ifade eder.</w:t>
      </w:r>
    </w:p>
    <w:p w:rsidR="00653E1D" w:rsidRDefault="00000000" w14:paraId="5BF067F8" w14:textId="77777777">
      <w:r>
        <w:rPr>
          <w:b/>
        </w:rPr>
        <w:t>4. SORUMLULAR</w:t>
      </w:r>
    </w:p>
    <w:p w:rsidR="00653E1D" w:rsidRDefault="00000000" w14:paraId="30D1760D" w14:textId="77777777">
      <w:pPr>
        <w:jc w:val="both"/>
      </w:pPr>
      <w:r>
        <w:t xml:space="preserve">Bu prosedürün hazırlanması ve yönetiminden Kalite Koordinatörlüğü sorumludur. Programın planlanması Kalite Koordinatörlüğü; organizasyonu, uygulanması ve belgelendirilmesi GÜSEM tarafından yürütülür. Birim yöneticileri akademik personelin programa katılımını sağlamakla sorumludur. Çevrim içi altyapı ve teknik destek GRUZEM; </w:t>
      </w:r>
      <w:r>
        <w:lastRenderedPageBreak/>
        <w:t>programın ve muafiyetlerin değerlendirilmesi Kalite Komisyonu; eğitim video içeriklerinin hazırlanması, kayıt ve montaj işlemleri Tirebolu İletişim Fakültesi sorumluluğundadır.</w:t>
      </w:r>
    </w:p>
    <w:p w:rsidR="00653E1D" w:rsidRDefault="00000000" w14:paraId="6EAAAC35" w14:textId="77777777">
      <w:r>
        <w:rPr>
          <w:b/>
        </w:rPr>
        <w:t>5. UYGULAMA</w:t>
      </w:r>
    </w:p>
    <w:p w:rsidR="00653E1D" w:rsidRDefault="00000000" w14:paraId="249D6524" w14:textId="77777777">
      <w:r>
        <w:rPr>
          <w:b/>
        </w:rPr>
        <w:t>5.1. Programın Planlanması ve Yapısı</w:t>
      </w:r>
    </w:p>
    <w:p w:rsidR="00653E1D" w:rsidRDefault="00000000" w14:paraId="453DE188" w14:textId="77777777">
      <w:pPr>
        <w:jc w:val="both"/>
      </w:pPr>
      <w:r>
        <w:t>Program içeriği, Kalite Koordinatörlüğünce yapılan ihtiyaç analizi ve akademik personelin görüşleri dikkate alınarak belirlenir. Program; akademik personelin eğitim-öğretim süreçlerini planlama, yürütme ve değerlendirme yetkinliklerini geliştirmeye yönelik modüler yapıda tasarlanır. Her modül 3 (üç) saatlik öğrenme birimlerinden oluşur ve programın toplam süresi modül sayısı dikkate alınarak planlanır. Eğitimler çevrim içi, yüz yüze veya hibrit yöntemle gerçekleştirilebilir; çevrim içi uygulamalarda GRUZEM altyapısı kullanılır. Program kapsamında uygulanacak modüllerde değişiklik yapılması, yeni modül eklenmesi veya içerik güncellenmesi, Kalite Koordinatörlüğünün teklifi üzerine Kalite Komisyonunun uygun görüşü ile gerçekleştirilir.</w:t>
      </w:r>
    </w:p>
    <w:p w:rsidR="00653E1D" w:rsidRDefault="00000000" w14:paraId="7201F4DF" w14:textId="77777777">
      <w:r>
        <w:rPr>
          <w:b/>
        </w:rPr>
        <w:t>5.2. Katılım</w:t>
      </w:r>
    </w:p>
    <w:p w:rsidR="00653E1D" w:rsidRDefault="00000000" w14:paraId="501C0061" w14:textId="77777777">
      <w:pPr>
        <w:jc w:val="both"/>
      </w:pPr>
      <w:r>
        <w:t>Öğretim elemanlarının programa ve program kapsamında yer alan tüm modüllere katılımı öncelikli ve esastır. Üniversiteye yeni atanan öğretim elemanlarının göreve başlama tarihinden itibaren en geç 1 (bir) yıl içinde programa katılmaları esastır. Katılımcıların programın en az %70’ine devam etmeleri zorunludur; devam durumu GÜSEM tarafından izlenir ve kayıt altına alınır.</w:t>
      </w:r>
    </w:p>
    <w:p w:rsidR="00653E1D" w:rsidRDefault="00000000" w14:paraId="5D475C55" w14:textId="77777777">
      <w:r>
        <w:rPr>
          <w:b/>
        </w:rPr>
        <w:t>5.3. Ölçme-Değerlendirme ve Belgelendirme</w:t>
      </w:r>
    </w:p>
    <w:p w:rsidR="00653E1D" w:rsidRDefault="00000000" w14:paraId="15AE1394" w14:textId="77777777">
      <w:pPr>
        <w:jc w:val="both"/>
      </w:pPr>
      <w:r>
        <w:t>Program kapsamında her modül sonunda ve program bitiminde; test, uygulama, ödev, performans görevi vb. yöntemlerle ölçme ve değerlendirme yapılır. Değerlendirme sonucunda 100 tam puan üzerinden en az 70 puan alan katılımcılar başarı sertifikası almaya hak kazanır. Sertifikalar GÜSEM tarafından düzenlenir ve belgelendirme süreci ilgili mevzuat hükümleri doğrultusunda yürütülür. Başarısız olan katılımcılara, ölçme-değerlendirme sonuçlarına göre en fazla 2 (iki) kez tekrar hakkı (sınav tekrarı, modül tekrarı veya yeniden değerlendirme) tanınabilir; tekrar süreci GÜSEM tarafından yürütülür.</w:t>
      </w:r>
    </w:p>
    <w:p w:rsidR="00653E1D" w:rsidRDefault="00000000" w14:paraId="5231E16B" w14:textId="77777777">
      <w:r>
        <w:rPr>
          <w:b/>
        </w:rPr>
        <w:t>5.4. Muafiyet ve Geçerlilik</w:t>
      </w:r>
    </w:p>
    <w:p w:rsidR="00653E1D" w:rsidRDefault="00000000" w14:paraId="5EA198BE" w14:textId="77777777">
      <w:pPr>
        <w:jc w:val="both"/>
      </w:pPr>
      <w:r>
        <w:t>Son 5 (beş) yıl içerisinde en az 40 saatlik Eğiticilerin Eğitimi Programını tamamlayarak sertifika almaya hak kazanmış olan öğretim elemanları programdan muaf tutulur. Sertifikaların geçerlilik süresi 5 (beş) yıldır; süre sonunda güncelleme eğitimine katılım esastır.</w:t>
      </w:r>
    </w:p>
    <w:p w:rsidR="00653E1D" w:rsidRDefault="00000000" w14:paraId="786D86D0" w14:textId="77777777">
      <w:r>
        <w:rPr>
          <w:b/>
        </w:rPr>
        <w:t>5.5. Geri Bildirim ve İyileştirme</w:t>
      </w:r>
    </w:p>
    <w:p w:rsidR="00653E1D" w:rsidRDefault="00000000" w14:paraId="1CD9D8F1" w14:textId="77777777">
      <w:pPr>
        <w:jc w:val="both"/>
      </w:pPr>
      <w:r>
        <w:t>Program sonunda programın etkililiğinin değerlendirilmesi amacıyla katılımcılara geri bildirim anketi uygulanır. Programın tasarımı, izlenmesi ve iyileştirme süreçleri PUKÖ döngüsü çerçevesinde, Kalite Koordinatörlüğü koordinasyonunda ve GÜSEM iş birliği ile yürütülür. Programa katılması zorunlu olduğu hâlde mazeretsiz olarak katılmayan veya tekrar uygulamalarına rağmen başarıyla tamamlayamayan öğretim elemanlarının durumu bölüm kurulu tarafından değerlendirilerek birim amirine görüş olarak sunulur ve gerekli işlemler ilgili mevzuat hükümleri çerçevesinde yürütülür.</w:t>
      </w:r>
    </w:p>
    <w:p w:rsidR="00653E1D" w:rsidRDefault="00000000" w14:paraId="6C64674C" w14:textId="77777777">
      <w:r>
        <w:rPr>
          <w:b/>
        </w:rPr>
        <w:t>6. REFERANS DOKÜMANLAR</w:t>
      </w:r>
    </w:p>
    <w:p w:rsidR="00653E1D" w:rsidRDefault="00000000" w14:paraId="62DBAEF7" w14:textId="77777777">
      <w:pPr>
        <w:jc w:val="both"/>
      </w:pPr>
      <w:r>
        <w:t>• TS EN ISO 9001:2015 Kalite Yönetim Sistemi</w:t>
      </w:r>
    </w:p>
    <w:p w:rsidR="00653E1D" w:rsidRDefault="00000000" w14:paraId="20D42A33" w14:textId="77777777">
      <w:pPr>
        <w:jc w:val="both"/>
      </w:pPr>
      <w:r>
        <w:t>• TS EN ISO 50001:2018 Enerji Yönetim Sistemi</w:t>
      </w:r>
    </w:p>
    <w:p w:rsidR="00653E1D" w:rsidRDefault="00000000" w14:paraId="0663B2A9" w14:textId="77777777">
      <w:pPr>
        <w:jc w:val="both"/>
      </w:pPr>
      <w:r>
        <w:lastRenderedPageBreak/>
        <w:t>• TS ISO 46001 Su Verimliliği Yönetim Sistemi</w:t>
      </w:r>
    </w:p>
    <w:p w:rsidR="00653E1D" w:rsidRDefault="00000000" w14:paraId="39C99F7D" w14:textId="77777777">
      <w:pPr>
        <w:jc w:val="both"/>
      </w:pPr>
      <w:r>
        <w:t xml:space="preserve">• Giresun Üniversitesi Eğiticilerin Eğitimi </w:t>
      </w:r>
      <w:proofErr w:type="spellStart"/>
      <w:r>
        <w:t>Programı</w:t>
      </w:r>
      <w:proofErr w:type="spellEnd"/>
      <w:r>
        <w:t xml:space="preserve"> </w:t>
      </w:r>
      <w:proofErr w:type="spellStart"/>
      <w:r>
        <w:t>Usul</w:t>
      </w:r>
      <w:proofErr w:type="spellEnd"/>
      <w:r>
        <w:t xml:space="preserve"> </w:t>
      </w:r>
      <w:proofErr w:type="spellStart"/>
      <w:r>
        <w:t>ve</w:t>
      </w:r>
      <w:proofErr w:type="spellEnd"/>
      <w:r>
        <w:t xml:space="preserve"> </w:t>
      </w:r>
      <w:proofErr w:type="spellStart"/>
      <w:r>
        <w:t>Esasları</w:t>
      </w:r>
      <w:proofErr w:type="spellEnd"/>
    </w:p>
    <w:p w:rsidRPr="006B26B9" w:rsidR="006B26B9" w:rsidRDefault="006B26B9" w14:paraId="2F320412" w14:textId="479F00C5">
      <w:pPr>
        <w:jc w:val="both"/>
        <w:rPr/>
      </w:pPr>
      <w:proofErr w:type="spellStart"/>
      <w:r w:rsidRPr="006B26B9">
        <w:rPr/>
        <w:t>Eğiticilerin</w:t>
      </w:r>
      <w:proofErr w:type="spellEnd"/>
      <w:r w:rsidRPr="006B26B9">
        <w:rPr/>
        <w:t xml:space="preserve"> </w:t>
      </w:r>
      <w:proofErr w:type="spellStart"/>
      <w:r w:rsidRPr="006B26B9">
        <w:rPr/>
        <w:t>Eğitimi</w:t>
      </w:r>
      <w:proofErr w:type="spellEnd"/>
      <w:r w:rsidRPr="006B26B9">
        <w:rPr/>
        <w:t xml:space="preserve"> Değerlendirme </w:t>
      </w:r>
      <w:proofErr w:type="spellStart"/>
      <w:r w:rsidRPr="006B26B9">
        <w:rPr/>
        <w:t>Anketi</w:t>
      </w:r>
      <w:proofErr w:type="spellEnd"/>
    </w:p>
    <w:p w:rsidRPr="006B26B9" w:rsidR="006B26B9" w:rsidRDefault="006B26B9" w14:paraId="60B17EA0" w14:textId="6D189F87">
      <w:pPr>
        <w:jc w:val="both"/>
        <w:rPr/>
      </w:pPr>
      <w:proofErr w:type="spellStart"/>
      <w:r w:rsidRPr="006B26B9">
        <w:rPr/>
        <w:t>KYS-FR.011 Eğitim Katılım Formu</w:t>
      </w:r>
      <w:proofErr w:type="spellEnd"/>
      <w:r w:rsidRPr="006B26B9">
        <w:rPr/>
      </w:r>
      <w:proofErr w:type="spellStart"/>
      <w:r w:rsidRPr="006B26B9">
        <w:rPr/>
      </w:r>
      <w:proofErr w:type="spellEnd"/>
      <w:r w:rsidRPr="006B26B9">
        <w:rPr/>
      </w:r>
    </w:p>
    <w:p w:rsidR="006B26B9" w:rsidRDefault="006B26B9" w14:paraId="5C2C826D" w14:textId="5B9BADEE">
      <w:pPr>
        <w:jc w:val="both"/>
      </w:pPr>
      <w:proofErr w:type="spellStart"/>
      <w:r w:rsidRPr="006B26B9">
        <w:rPr/>
        <w:t>KYS-FR.012 Eğitim Etkinlik Değerlendirme Formu</w:t>
      </w:r>
      <w:proofErr w:type="spellEnd"/>
      <w:r w:rsidRPr="006B26B9">
        <w:rPr/>
      </w:r>
      <w:proofErr w:type="spellStart"/>
      <w:r w:rsidRPr="006B26B9">
        <w:rPr/>
      </w:r>
      <w:proofErr w:type="spellEnd"/>
    </w:p>
    <w:sectPr w:rsidR="006B26B9" w:rsidSect="00034616">
      <w:headerReference w:type="default" r:id="R7ff83b92414e49f7"/>
      <w:pgSz w:w="12240" w:h="15840"/>
      <w:pgMar w:top="1134" w:right="850" w:bottom="1134" w:left="850" w:header="720" w:footer="720" w:gutter="0"/>
      <w:cols w:space="720"/>
      <w:docGrid w:linePitch="360"/>
      <w:footerReference w:type="default" r:id="R05669240779e48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4.xml><?xml version="1.0" encoding="utf-8"?>
<w:ftr xmlns:w="http://schemas.openxmlformats.org/wordprocessingml/2006/main">
  <w:tbl>
    <w:tblPr>
      <w:tblW w:w="5000" w:type="pct"/>
      <w:tblBorders>
        <w:top w:val="single" w:color="auto" w:sz="4" w:space="0"/>
        <w:bottom w:val="single" w:color="auto" w:sz="4" w:space="0"/>
        <w:left w:val="single" w:color="auto" w:sz="4" w:space="0"/>
        <w:right w:val="single" w:color="auto" w:sz="4" w:space="0"/>
        <w:insideH w:val="single" w:color="auto" w:sz="4" w:space="0"/>
        <w:insideV w:val="single" w:color="auto" w:sz="4" w:space="0"/>
      </w:tblBorders>
    </w:tblPr>
    <w:tblGrid>
      <w:gridCol w:w="4500"/>
      <w:gridCol w:w="4500"/>
    </w:tblGrid>
    <w:tr>
      <w:tc>
        <w:tcPr>
          <w:tcW w:w="4500" w:type="dxa"/>
        </w:tcPr>
        <w:p>
          <w:pPr>
            <w:jc w:val="center"/>
            <w:spacing w:before="0" w:after="0" w:line="240" w:lineRule="auto"/>
          </w:pPr>
          <w:r>
            <w:rPr>
              <w:rFonts w:ascii="Times New Roman" w:hAnsi="Times New Roman" w:eastAsia="Century Gothic"/>
              <w:b/>
              <w:sz w:val="22"/>
              <w:szCs w:val="22"/>
            </w:rPr>
            <w:t xml:space="preserve">Hazırlayan</w:t>
          </w:r>
        </w:p>
      </w:tc>
      <w:tc>
        <w:tcPr>
          <w:tcW w:w="4500" w:type="dxa"/>
        </w:tcPr>
        <w:p>
          <w:pPr>
            <w:jc w:val="center"/>
            <w:spacing w:before="0" w:after="0" w:line="240" w:lineRule="auto"/>
          </w:pPr>
          <w:r>
            <w:rPr>
              <w:rFonts w:ascii="Times New Roman" w:hAnsi="Times New Roman" w:eastAsia="Century Gothic"/>
              <w:b/>
              <w:sz w:val="22"/>
              <w:szCs w:val="22"/>
            </w:rPr>
            <w:t xml:space="preserve">Onaylayan</w:t>
          </w:r>
        </w:p>
      </w:tc>
    </w:tr>
    <w:tr>
      <w:tc>
        <w:tcPr>
          <w:tcW w:w="4500" w:type="dxa"/>
        </w:tcPr>
        <w:p>
          <w:pPr>
            <w:jc w:val="center"/>
            <w:spacing w:before="0" w:after="0" w:line="240" w:lineRule="auto"/>
          </w:pPr>
          <w:r>
            <w:rPr>
              <w:rFonts w:ascii="Times New Roman" w:hAnsi="Times New Roman" w:eastAsia="Century Gothic"/>
              <w:sz w:val="22"/>
              <w:szCs w:val="22"/>
            </w:rPr>
            <w:t xml:space="preserve">Kalite Koordinatörlüğü</w:t>
          </w:r>
        </w:p>
      </w:tc>
      <w:tc>
        <w:tcPr>
          <w:tcW w:w="4500" w:type="dxa"/>
        </w:tcPr>
        <w:p>
          <w:pPr>
            <w:jc w:val="center"/>
            <w:spacing w:before="0" w:after="0" w:line="240" w:lineRule="auto"/>
          </w:pPr>
          <w:r>
            <w:rPr>
              <w:rFonts w:ascii="Times New Roman" w:hAnsi="Times New Roman" w:eastAsia="Century Gothic"/>
              <w:sz w:val="22"/>
              <w:szCs w:val="22"/>
            </w:rPr>
            <w:t xml:space="preserve">Kalite Koordinatörlüğü</w:t>
          </w:r>
        </w:p>
      </w:tc>
    </w:tr>
  </w:tbl>
  <w:p>
    <w:pPr>
      <w:jc w:val="center"/>
      <w:spacing w:before="0" w:after="60" w:line="240" w:lineRule="auto"/>
    </w:pPr>
    <w:r>
      <w:rPr>
        <w:rFonts w:ascii="Times New Roman" w:hAnsi="Times New Roman" w:eastAsia="Century Gothic"/>
        <w:sz w:val="18"/>
        <w:szCs w:val="18"/>
        <w:i/>
        <w:color w:val="FF0000"/>
      </w:rPr>
      <w:t xml:space="preserve">Bu dokümanın basılı hali kontrolsüz doküman kabul edilmektedir. Lütfen web sitesinden en son versiyonuna ulaşınız.</w:t>
    </w:r>
  </w:p>
  <w:tbl>
    <w:tblPr>
      <w:tblW w:w="5000" w:type="pct"/>
      <w:tblBorders>
        <w:top w:val="none"/>
        <w:bottom w:val="none"/>
        <w:left w:val="none"/>
        <w:right w:val="none"/>
        <w:insideH w:val="none"/>
        <w:insideV w:val="none"/>
      </w:tblBorders>
    </w:tblPr>
    <w:tblGrid>
      <w:gridCol w:w="8000"/>
      <w:gridCol w:w="2000"/>
    </w:tblGrid>
    <w:tr>
      <w:tc>
        <w:tcPr>
          <w:tcW w:w="8000" w:type="dxa"/>
          <w:vAlign w:val="top"/>
        </w:tcPr>
        <w:p>
          <w:pPr>
            <w:spacing w:before="0" w:after="0" w:line="240" w:lineRule="auto"/>
          </w:pPr>
          <w:r>
            <w:rPr>
              <w:rFonts w:ascii="Times New Roman" w:hAnsi="Times New Roman" w:eastAsia="Century Gothic"/>
              <w:sz w:val="16"/>
              <w:szCs w:val="16"/>
            </w:rPr>
            <w:t>KYS-PRO.007, R00, 17.07.2026</w:t>
          </w:r>
        </w:p>
        <w:p>
          <w:pPr>
            <w:spacing w:before="0" w:after="0" w:line="240" w:lineRule="auto"/>
          </w:pPr>
          <w:hyperlink xmlns:r="http://schemas.openxmlformats.org/officeDocument/2006/relationships" w:history="true" r:id="R8accd5add895451d">
            <w:r>
              <w:rPr>
                <w:rFonts w:ascii="Times New Roman" w:hAnsi="Times New Roman" w:eastAsia="Century Gothic"/>
                <w:sz w:val="16"/>
                <w:szCs w:val="16"/>
                <w:color w:val="0563C1"/>
                <w:u w:val="single"/>
              </w:rPr>
              <w:t>kvys.giresun.edu.tr/dg/283</w:t>
            </w:r>
          </w:hyperlink>
        </w:p>
      </w:tc>
      <w:tc>
        <w:tcPr>
          <w:tcW w:w="2000" w:type="dxa"/>
          <w:vAlign w:val="top"/>
        </w:tcPr>
        <w:p>
          <w:pPr>
            <w:jc w:val="right"/>
            <w:spacing w:before="0" w:after="0" w:line="240" w:lineRule="auto"/>
          </w:pPr>
          <w:r>
            <w:rPr>
              <w:rFonts w:ascii="Arial" w:hAnsi="Arial" w:cs="Arial"/>
              <w:noProof/>
            </w:rPr>
            <w:drawing>
              <wp:inline xmlns:wp="http://schemas.openxmlformats.org/drawingml/2006/wordprocessingDrawing" distT="0" distB="0" distL="0" distR="0">
                <wp:extent cx="540000" cy="540000"/>
                <wp:effectExtent l="0" t="0" r="0" b="0"/>
                <wp:docPr id="2" name="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
                        <pic:cNvPicPr>
                          <a:picLocks noChangeAspect="1" noChangeArrowheads="1"/>
                        </pic:cNvPicPr>
                      </pic:nvPicPr>
                      <pic:blipFill>
                        <a:blip xmlns:r="http://schemas.openxmlformats.org/officeDocument/2006/relationships" r:embed="Radfa9af7cf234859" cstate="print"/>
                        <a:srcRect/>
                        <a:stretch>
                          <a:fillRect/>
                        </a:stretch>
                      </pic:blipFill>
                      <pic:spPr bwMode="auto">
                        <a:xfrm>
                          <a:off x="0" y="0"/>
                          <a:ext cx="540000" cy="540000"/>
                        </a:xfrm>
                        <a:prstGeom prst="rect">
                          <a:avLst/>
                        </a:prstGeom>
                        <a:noFill/>
                        <a:ln>
                          <a:noFill/>
                        </a:ln>
                      </pic:spPr>
                    </pic:pic>
                  </a:graphicData>
                </a:graphic>
              </wp:inline>
            </w:drawing>
          </w:r>
        </w:p>
        <w:p>
          <w:pPr>
            <w:jc w:val="right"/>
            <w:spacing w:before="0" w:after="0" w:line="240" w:lineRule="auto"/>
          </w:pPr>
          <w:r>
            <w:rPr>
              <w:rFonts w:ascii="Times New Roman" w:hAnsi="Times New Roman" w:eastAsia="Century Gothic"/>
              <w:sz w:val="16"/>
              <w:szCs w:val="16"/>
            </w:rPr>
            <w:t xml:space="preserve">Sayfa </w:t>
          </w:r>
          <w:r>
            <w:rPr>
              <w:rFonts w:ascii="Times New Roman" w:hAnsi="Times New Roman" w:eastAsia="Century Gothic"/>
              <w:sz w:val="16"/>
              <w:szCs w:val="16"/>
            </w:rPr>
            <w:fldChar w:fldCharType="begin"/>
          </w:r>
          <w:r>
            <w:rPr>
              <w:rFonts w:ascii="Times New Roman" w:hAnsi="Times New Roman" w:eastAsia="Century Gothic"/>
              <w:sz w:val="16"/>
              <w:szCs w:val="16"/>
            </w:rPr>
            <w:instrText>PAGE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r>
            <w:rPr>
              <w:rFonts w:ascii="Times New Roman" w:hAnsi="Times New Roman" w:eastAsia="Century Gothic"/>
              <w:sz w:val="16"/>
              <w:szCs w:val="16"/>
            </w:rPr>
            <w:t> / </w:t>
          </w:r>
          <w:r>
            <w:rPr>
              <w:rFonts w:ascii="Times New Roman" w:hAnsi="Times New Roman" w:eastAsia="Century Gothic"/>
              <w:sz w:val="16"/>
              <w:szCs w:val="16"/>
            </w:rPr>
            <w:fldChar w:fldCharType="begin"/>
          </w:r>
          <w:r>
            <w:rPr>
              <w:rFonts w:ascii="Times New Roman" w:hAnsi="Times New Roman" w:eastAsia="Century Gothic"/>
              <w:sz w:val="16"/>
              <w:szCs w:val="16"/>
            </w:rPr>
            <w:instrText>NUMPAGES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p>
      </w:tc>
    </w:tr>
  </w:tbl>
  <w:p>
    <w:pPr>
      <w:spacing w:before="0" w:after="0" w:line="240" w:lineRule="auto"/>
    </w:pPr>
  </w:p>
</w:ftr>
</file>

<file path=word/header4.xml><?xml version="1.0" encoding="utf-8"?>
<w:hdr xmlns:w="http://schemas.openxmlformats.org/wordprocessingml/2006/main">
  <w:tbl>
    <w:tblPr>
      <w:tblStyle w:val="TabloKlavuzu"/>
      <w:jc w:val="center"/>
      <w:tblW w:w="5000" w:type="pct"/>
      <w:tblBorders>
        <w:top w:val="single" w:sz="4"/>
        <w:bottom w:val="single" w:sz="4"/>
        <w:left w:val="single" w:sz="4"/>
        <w:right w:val="single" w:sz="4"/>
        <w:insideH w:val="single" w:sz="4"/>
        <w:insideV w:val="single" w:sz="4"/>
      </w:tblBorders>
      <w:tblLook w:val="04A0" w:firstRow="true" w:lastRow="false" w:firstColumn="true" w:lastColumn="false" w:noHBand="false" w:noVBand="true"/>
    </w:tblPr>
    <w:tblGrid>
      <w:gridCol w:w="1566"/>
      <w:gridCol w:w="5411"/>
      <w:gridCol w:w="1541"/>
      <w:gridCol w:w="1491"/>
    </w:tblGrid>
    <w:tr>
      <w:trPr>
        <w:trHeight w:val="272"/>
      </w:trPr>
      <w:tc>
        <w:tcPr>
          <w:tcW w:w="1566" w:type="dxa"/>
          <w:vMerge w:val="restart"/>
          <w:vAlign w:val="center"/>
        </w:tcPr>
        <w:p>
          <w:pPr>
            <w:jc w:val="center"/>
            <w:spacing w:before="0" w:after="0" w:line="240" w:lineRule="auto"/>
          </w:pPr>
          <w:r>
            <w:rPr>
              <w:rFonts w:ascii="Arial" w:hAnsi="Arial" w:eastAsia="Century Gothic" w:cs="Arial"/>
              <w:noProof/>
              <w:sz w:val="29"/>
              <w:szCs w:val="29"/>
              <w:lang w:eastAsia="tr-TR"/>
            </w:rPr>
            <w:drawing>
              <wp:inline xmlns:wp="http://schemas.openxmlformats.org/drawingml/2006/wordprocessingDrawing" distT="0" distB="0" distL="0" distR="0">
                <wp:extent cx="854000" cy="854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3437bb4f5d774aff" cstate="print"/>
                        <a:srcRect/>
                        <a:stretch>
                          <a:fillRect/>
                        </a:stretch>
                      </pic:blipFill>
                      <pic:spPr bwMode="auto">
                        <a:xfrm>
                          <a:off x="0" y="0"/>
                          <a:ext cx="854000" cy="854000"/>
                        </a:xfrm>
                        <a:prstGeom prst="rect">
                          <a:avLst/>
                        </a:prstGeom>
                        <a:noFill/>
                        <a:ln>
                          <a:noFill/>
                        </a:ln>
                      </pic:spPr>
                    </pic:pic>
                  </a:graphicData>
                </a:graphic>
              </wp:inline>
            </w:drawing>
          </w:r>
        </w:p>
      </w:tc>
      <w:tc>
        <w:tcPr>
          <w:tcW w:w="5411" w:type="dxa"/>
          <w:vMerge w:val="restart"/>
          <w:vAlign w:val="center"/>
        </w:tcPr>
        <w:p>
          <w:pPr>
            <w:jc w:val="center"/>
            <w:spacing w:before="0" w:after="0" w:line="240" w:lineRule="auto"/>
          </w:pPr>
          <w:r>
            <w:rPr>
              <w:rFonts w:ascii="Times New Roman" w:hAnsi="Times New Roman" w:eastAsia="Century Gothic"/>
              <w:b/>
              <w:sz w:val="24"/>
              <w:szCs w:val="24"/>
            </w:rPr>
            <w:t>T.C.</w:t>
          </w:r>
        </w:p>
        <w:p>
          <w:pPr>
            <w:jc w:val="center"/>
            <w:spacing w:before="0" w:after="0" w:line="240" w:lineRule="auto"/>
          </w:pPr>
          <w:r>
            <w:rPr>
              <w:rFonts w:ascii="Times New Roman" w:hAnsi="Times New Roman" w:eastAsia="Century Gothic"/>
              <w:b/>
              <w:sz w:val="24"/>
              <w:szCs w:val="24"/>
            </w:rPr>
            <w:t>GİRESUN ÜNİVERSİTESİ</w:t>
          </w:r>
        </w:p>
        <w:p>
          <w:pPr>
            <w:jc w:val="center"/>
            <w:spacing w:before="0" w:after="0" w:line="240" w:lineRule="auto"/>
          </w:pPr>
          <w:r>
            <w:rPr>
              <w:rFonts w:ascii="Times New Roman" w:hAnsi="Times New Roman" w:eastAsia="Century Gothic"/>
              <w:b/>
              <w:sz w:val="24"/>
              <w:szCs w:val="24"/>
            </w:rPr>
            <w:t>Eğiticilerin Eğitimi Prosedürü</w:t>
          </w:r>
        </w:p>
      </w:tc>
      <w:tc>
        <w:tcPr>
          <w:tcW w:w="1541" w:type="dxa"/>
          <w:vAlign w:val="center"/>
        </w:tcPr>
        <w:p>
          <w:pPr>
            <w:spacing w:before="0" w:after="0" w:line="240" w:lineRule="auto"/>
          </w:pPr>
          <w:r>
            <w:rPr>
              <w:rFonts w:ascii="Times New Roman" w:hAnsi="Times New Roman" w:eastAsia="Century Gothic"/>
              <w:sz w:val="20"/>
              <w:szCs w:val="20"/>
            </w:rPr>
            <w:t>Doküman No</w:t>
          </w:r>
        </w:p>
      </w:tc>
      <w:tc>
        <w:tcPr>
          <w:tcW w:w="1491" w:type="dxa"/>
          <w:vAlign w:val="center"/>
        </w:tcPr>
        <w:p>
          <w:pPr>
            <w:spacing w:before="0" w:after="0" w:line="240" w:lineRule="auto"/>
          </w:pPr>
          <w:r>
            <w:rPr>
              <w:rFonts w:ascii="Times New Roman" w:hAnsi="Times New Roman"/>
              <w:sz w:val="20"/>
              <w:szCs w:val="20"/>
            </w:rPr>
            <w:t>KYS-PRO.007</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İlk Yayın Tarihi</w:t>
          </w:r>
        </w:p>
      </w:tc>
      <w:tc>
        <w:tcPr>
          <w:tcW w:w="1491" w:type="dxa"/>
          <w:vAlign w:val="center"/>
        </w:tcPr>
        <w:p>
          <w:pPr>
            <w:spacing w:before="0" w:after="0" w:line="240" w:lineRule="auto"/>
          </w:pPr>
          <w:r>
            <w:rPr>
              <w:rFonts w:ascii="Times New Roman" w:hAnsi="Times New Roman"/>
              <w:sz w:val="20"/>
              <w:szCs w:val="20"/>
            </w:rPr>
            <w:t>17.07.2026</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Tarihi</w:t>
          </w:r>
        </w:p>
      </w:tc>
      <w:tc>
        <w:tcPr>
          <w:tcW w:w="1491" w:type="dxa"/>
          <w:vAlign w:val="center"/>
        </w:tcPr>
        <w:p>
          <w:pPr>
            <w:spacing w:before="0" w:after="0" w:line="240" w:lineRule="auto"/>
          </w:pPr>
          <w:r>
            <w:rPr>
              <w:rFonts w:ascii="Times New Roman" w:hAnsi="Times New Roman"/>
              <w:sz w:val="20"/>
              <w:szCs w:val="20"/>
            </w:rPr>
            <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No</w:t>
          </w:r>
        </w:p>
      </w:tc>
      <w:tc>
        <w:tcPr>
          <w:tcW w:w="1491" w:type="dxa"/>
          <w:vAlign w:val="center"/>
        </w:tcPr>
        <w:p>
          <w:pPr>
            <w:spacing w:before="0" w:after="0" w:line="240" w:lineRule="auto"/>
          </w:pPr>
          <w:r>
            <w:rPr>
              <w:rFonts w:ascii="Times New Roman" w:hAnsi="Times New Roman"/>
              <w:sz w:val="20"/>
              <w:szCs w:val="20"/>
            </w:rPr>
            <w:t>00</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Sayfa No</w:t>
          </w:r>
        </w:p>
      </w:tc>
      <w:tc>
        <w:tcPr>
          <w:tcW w:w="1491" w:type="dxa"/>
          <w:vAlign w:val="center"/>
        </w:tcPr>
        <w:p>
          <w:pPr>
            <w:spacing w:before="0" w:after="0" w:line="240" w:lineRule="auto"/>
          </w:pPr>
          <w:r>
            <w:rPr>
              <w:rFonts w:ascii="Times New Roman" w:hAnsi="Times New Roman" w:eastAsia="Century Gothic"/>
              <w:sz w:val="20"/>
              <w:szCs w:val="20"/>
            </w:rPr>
            <w:fldChar w:fldCharType="begin"/>
          </w:r>
          <w:r>
            <w:rPr>
              <w:rFonts w:ascii="Times New Roman" w:hAnsi="Times New Roman" w:eastAsia="Century Gothic"/>
              <w:sz w:val="20"/>
              <w:szCs w:val="20"/>
            </w:rPr>
            <w:instrText>PAGE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r>
            <w:rPr>
              <w:rFonts w:ascii="Times New Roman" w:hAnsi="Times New Roman" w:eastAsia="Century Gothic"/>
              <w:sz w:val="20"/>
              <w:szCs w:val="20"/>
            </w:rPr>
            <w:t>/</w:t>
          </w:r>
          <w:r>
            <w:rPr>
              <w:rFonts w:ascii="Times New Roman" w:hAnsi="Times New Roman" w:eastAsia="Century Gothic"/>
              <w:sz w:val="20"/>
              <w:szCs w:val="20"/>
            </w:rPr>
            <w:fldChar w:fldCharType="begin"/>
          </w:r>
          <w:r>
            <w:rPr>
              <w:rFonts w:ascii="Times New Roman" w:hAnsi="Times New Roman" w:eastAsia="Century Gothic"/>
              <w:sz w:val="20"/>
              <w:szCs w:val="20"/>
            </w:rPr>
            <w:instrText>NUMPAGES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p>
      </w:tc>
    </w:tr>
  </w:tbl>
  <w:p>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928029883">
    <w:abstractNumId w:val="8"/>
  </w:num>
  <w:num w:numId="2" w16cid:durableId="4210371">
    <w:abstractNumId w:val="6"/>
  </w:num>
  <w:num w:numId="3" w16cid:durableId="1829785868">
    <w:abstractNumId w:val="5"/>
  </w:num>
  <w:num w:numId="4" w16cid:durableId="1528638862">
    <w:abstractNumId w:val="4"/>
  </w:num>
  <w:num w:numId="5" w16cid:durableId="1432780150">
    <w:abstractNumId w:val="7"/>
  </w:num>
  <w:num w:numId="6" w16cid:durableId="815339638">
    <w:abstractNumId w:val="3"/>
  </w:num>
  <w:num w:numId="7" w16cid:durableId="1522207212">
    <w:abstractNumId w:val="2"/>
  </w:num>
  <w:num w:numId="8" w16cid:durableId="397213777">
    <w:abstractNumId w:val="1"/>
  </w:num>
  <w:num w:numId="9" w16cid:durableId="214480543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86CBC"/>
    <w:rsid w:val="00653E1D"/>
    <w:rsid w:val="006B26B9"/>
    <w:rsid w:val="00761AF3"/>
    <w:rsid w:val="00825579"/>
    <w:rsid w:val="00AA1D8D"/>
    <w:rsid w:val="00B47730"/>
    <w:rsid w:val="00CB0664"/>
    <w:rsid w:val="00DA55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C44026"/>
  <w14:defaultImageDpi w14:val="300"/>
  <w15:docId w15:val="{6E07AEB4-2724-7249-BB1B-D674D147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eader" Target="/word/header4.xml" Id="R7ff83b92414e49f7" /><Relationship Type="http://schemas.openxmlformats.org/officeDocument/2006/relationships/footer" Target="/word/footer4.xml" Id="R05669240779e4801" /></Relationships>
</file>

<file path=word/_rels/footer4.xml.rels>&#65279;<?xml version="1.0" encoding="utf-8"?><Relationships xmlns="http://schemas.openxmlformats.org/package/2006/relationships"><Relationship Type="http://schemas.openxmlformats.org/officeDocument/2006/relationships/image" Target="/media/image2.png" Id="Radfa9af7cf234859" /><Relationship Type="http://schemas.openxmlformats.org/officeDocument/2006/relationships/hyperlink" Target="https://kvys.giresun.edu.tr/dg/283" TargetMode="External" Id="R8accd5add895451d" /></Relationships>
</file>

<file path=word/_rels/header4.xml.rels>&#65279;<?xml version="1.0" encoding="utf-8"?><Relationships xmlns="http://schemas.openxmlformats.org/package/2006/relationships"><Relationship Type="http://schemas.openxmlformats.org/officeDocument/2006/relationships/image" Target="/media/image.png" Id="R3437bb4f5d774af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sipahi</cp:lastModifiedBy>
  <cp:revision>3</cp:revision>
  <dcterms:created xsi:type="dcterms:W3CDTF">2013-12-23T23:15:00Z</dcterms:created>
  <dcterms:modified xsi:type="dcterms:W3CDTF">2026-06-19T10:17:00Z</dcterms:modified>
  <cp:category/>
</cp:coreProperties>
</file>