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4.xml" ContentType="application/vnd.openxmlformats-officedocument.wordprocessingml.foot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rsidR="00C4512C" w:rsidRDefault="00000000" w14:paraId="40A56456" w14:textId="77777777">
      <w:r>
        <w:rPr>
          <w:b/>
        </w:rPr>
        <w:t>1. AMAÇ</w:t>
      </w:r>
    </w:p>
    <w:p w:rsidR="00C4512C" w:rsidRDefault="00000000" w14:paraId="240712D8" w14:textId="77777777">
      <w:pPr>
        <w:jc w:val="both"/>
      </w:pPr>
      <w:r>
        <w:t>Bu prosedürün amacı; Üniversitemizin stratejik ve kurumsal amaç ile hedeflerine ulaşmasını etkileyebilecek risklerin ve fırsatların Entegre Yönetim Sistemi çerçevesinde sistematik olarak belirlenmesi, değerlendirilmesi, önceliklendirilmesi, bunlara cevap verilmesi ile izlenmesi ve raporlanmasına ilişkin yöntem ve sorumlulukları tanımlamaktır.</w:t>
      </w:r>
    </w:p>
    <w:p w:rsidR="00C4512C" w:rsidRDefault="00000000" w14:paraId="3E6AB14D" w14:textId="77777777">
      <w:r>
        <w:rPr>
          <w:b/>
        </w:rPr>
        <w:t>2. KAPSAM</w:t>
      </w:r>
    </w:p>
    <w:p w:rsidR="00C4512C" w:rsidRDefault="00000000" w14:paraId="649C8AB8" w14:textId="5B54F629">
      <w:pPr>
        <w:jc w:val="both"/>
      </w:pPr>
      <w:r>
        <w:t xml:space="preserve">Bu prosedür; TS EN ISO 9001:2015 Kalite, TS EN ISO 50001:2018 Enerji ve TS ISO 46001 Su Verimliliği Yönetim Sistemi standartlarını kapsayan </w:t>
      </w:r>
      <w:r>
        <w:rPr>
          <w:b/>
        </w:rPr>
        <w:t xml:space="preserve">Entegre Yönetim </w:t>
      </w:r>
      <w:proofErr w:type="spellStart"/>
      <w:r>
        <w:rPr>
          <w:b/>
        </w:rPr>
        <w:t>Sistemi</w:t>
      </w:r>
      <w:proofErr w:type="spellEnd"/>
      <w:r>
        <w:rPr>
          <w:b/>
        </w:rPr>
        <w:t xml:space="preserve"> (EYS)</w:t>
      </w:r>
      <w:r>
        <w:t xml:space="preserve"> </w:t>
      </w:r>
      <w:proofErr w:type="spellStart"/>
      <w:r>
        <w:t>çerçevesinde</w:t>
      </w:r>
      <w:proofErr w:type="spellEnd"/>
      <w:r>
        <w:t xml:space="preserve"> </w:t>
      </w:r>
      <w:proofErr w:type="spellStart"/>
      <w:r>
        <w:t>uygulanır</w:t>
      </w:r>
      <w:proofErr w:type="spellEnd"/>
      <w:r>
        <w:t>.</w:t>
      </w:r>
      <w:r w:rsidR="00465AFD">
        <w:t xml:space="preserve"> </w:t>
      </w:r>
      <w:r>
        <w:t xml:space="preserve">Bu </w:t>
      </w:r>
      <w:proofErr w:type="spellStart"/>
      <w:r>
        <w:t>prosedür</w:t>
      </w:r>
      <w:proofErr w:type="spellEnd"/>
      <w:r>
        <w:t xml:space="preserve">; </w:t>
      </w:r>
      <w:proofErr w:type="spellStart"/>
      <w:r>
        <w:t>Üniversitemizin</w:t>
      </w:r>
      <w:proofErr w:type="spellEnd"/>
      <w:r>
        <w:t xml:space="preserve"> </w:t>
      </w:r>
      <w:proofErr w:type="spellStart"/>
      <w:r>
        <w:t>tüm</w:t>
      </w:r>
      <w:proofErr w:type="spellEnd"/>
      <w:r>
        <w:t xml:space="preserve"> </w:t>
      </w:r>
      <w:proofErr w:type="spellStart"/>
      <w:r>
        <w:t>akademik</w:t>
      </w:r>
      <w:proofErr w:type="spellEnd"/>
      <w:r>
        <w:t xml:space="preserve"> ve idari birimleri ile bağımsız birimlerinde, stratejik plan hedefleri, süreç göstergeleri ve faaliyetlere ilişkin risk ve fırsatların; iç ve dış hususlar dikkate alınarak belirlenmesi, değerlendirilmesi ve Giresun Üniversitesi Yönetim Bilgi Sistemi (GÜYBİS) Stratejik Yönetim Bilgi Sistemi üzerinden yürütülmesine yönelik tüm faaliyetleri kapsar.</w:t>
      </w:r>
    </w:p>
    <w:p w:rsidR="00C4512C" w:rsidRDefault="00000000" w14:paraId="6482A11D" w14:textId="77777777">
      <w:r>
        <w:rPr>
          <w:b/>
        </w:rPr>
        <w:t>3. TANIMLAR VE KISALTMALAR</w:t>
      </w:r>
    </w:p>
    <w:p w:rsidR="00C4512C" w:rsidRDefault="00000000" w14:paraId="026BC170" w14:textId="77777777">
      <w:pPr>
        <w:jc w:val="both"/>
      </w:pPr>
      <w:r>
        <w:rPr>
          <w:b/>
        </w:rPr>
        <w:t>Entegre Yönetim Sistemi (EYS):</w:t>
      </w:r>
      <w:r>
        <w:t xml:space="preserve"> Üniversitenin politika, hedef ve süreçlerini; TS EN ISO 9001:2015 Kalite, TS EN ISO 50001:2018 Enerji ve TS ISO 46001 Su Verimliliği Yönetim Sistemi standartlarının ilgili bileşenlerini tek bir sistemde birleştirerek daha kolay yönetmek üzere oluşturulan bütünleşik yönetim sistemidir.</w:t>
      </w:r>
    </w:p>
    <w:p w:rsidR="00C4512C" w:rsidRDefault="00000000" w14:paraId="7AE88860" w14:textId="77777777">
      <w:pPr>
        <w:jc w:val="both"/>
      </w:pPr>
      <w:r>
        <w:rPr>
          <w:b/>
        </w:rPr>
        <w:t>Kalite Koordinatörlüğü:</w:t>
      </w:r>
      <w:r>
        <w:t xml:space="preserve"> EYS şartlarının karşılanması, sürekliliğinin sağlanması, risk ve fırsatların belirlenmesi ile süreç performanslarının iyileştirilmesiyle ilgili çalışmaları gerçekleştiren ve üst yönetime raporlama yapan yönetim temsilcisidir. Akreditasyon, Akademik Değerlendirme ve Kalite Koordinatörlüğünü ifade eder.</w:t>
      </w:r>
    </w:p>
    <w:p w:rsidR="00C4512C" w:rsidRDefault="00000000" w14:paraId="45C4CEE7" w14:textId="77777777">
      <w:pPr>
        <w:jc w:val="both"/>
      </w:pPr>
      <w:r>
        <w:rPr>
          <w:b/>
        </w:rPr>
        <w:t>Risk:</w:t>
      </w:r>
      <w:r>
        <w:t xml:space="preserve"> Üniversitenin kurumsal veya stratejik amaç ve hedeflerine ulaşmasını olumsuz olarak etkileyecek, etki ve olasılık ile ölçülebilen her türlü eylem, durum ve olayı ifade eder.</w:t>
      </w:r>
    </w:p>
    <w:p w:rsidR="00C4512C" w:rsidRDefault="00000000" w14:paraId="2A424046" w14:textId="77777777">
      <w:pPr>
        <w:jc w:val="both"/>
      </w:pPr>
      <w:r>
        <w:rPr>
          <w:b/>
        </w:rPr>
        <w:t>Fırsat:</w:t>
      </w:r>
      <w:r>
        <w:t xml:space="preserve"> Riskin olumlu yanlarını ve sağlayabileceği olası kazançları ifade eder.</w:t>
      </w:r>
    </w:p>
    <w:p w:rsidR="00C4512C" w:rsidRDefault="00000000" w14:paraId="4AA8746D" w14:textId="77777777">
      <w:pPr>
        <w:jc w:val="both"/>
      </w:pPr>
      <w:r>
        <w:rPr>
          <w:b/>
        </w:rPr>
        <w:t>Etki:</w:t>
      </w:r>
      <w:r>
        <w:t xml:space="preserve"> Bir olayın meydana gelmesi hâlinde hedef ve faaliyetler üzerinde yaratacağı sonucu ifade eder.</w:t>
      </w:r>
    </w:p>
    <w:p w:rsidR="00C4512C" w:rsidRDefault="00000000" w14:paraId="3B875FE0" w14:textId="77777777">
      <w:pPr>
        <w:jc w:val="both"/>
      </w:pPr>
      <w:r>
        <w:rPr>
          <w:b/>
        </w:rPr>
        <w:t>Olasılık:</w:t>
      </w:r>
      <w:r>
        <w:t xml:space="preserve"> Bir olayın belirli bir zaman diliminde gerçekleşme ihtimalini ifade eder.</w:t>
      </w:r>
    </w:p>
    <w:p w:rsidR="00C4512C" w:rsidRDefault="00000000" w14:paraId="5375EBE4" w14:textId="77777777">
      <w:pPr>
        <w:jc w:val="both"/>
      </w:pPr>
      <w:r>
        <w:rPr>
          <w:b/>
        </w:rPr>
        <w:t>Risk İştahı:</w:t>
      </w:r>
      <w:r>
        <w:t xml:space="preserve"> Üniversitenin amaç ve hedeflerini yerine getirirken kabul edilebilir ve mazur görülebilir olarak belirlediği risk seviyesini ifade eder.</w:t>
      </w:r>
    </w:p>
    <w:p w:rsidR="00C4512C" w:rsidRDefault="00000000" w14:paraId="6DE769A9" w14:textId="77777777">
      <w:pPr>
        <w:jc w:val="both"/>
      </w:pPr>
      <w:r>
        <w:rPr>
          <w:b/>
        </w:rPr>
        <w:t>Risk Matrisi:</w:t>
      </w:r>
      <w:r>
        <w:t xml:space="preserve"> Risk analizi çalışmaları sonucunda tespit edilen ve derecelendirilen risklerin hesaplanmasında kullanılan matrisi ifade eder.</w:t>
      </w:r>
    </w:p>
    <w:p w:rsidR="00C4512C" w:rsidRDefault="00000000" w14:paraId="61CD5E72" w14:textId="77777777">
      <w:pPr>
        <w:jc w:val="both"/>
      </w:pPr>
      <w:r>
        <w:rPr>
          <w:b/>
        </w:rPr>
        <w:t>Risk Değerlendirme:</w:t>
      </w:r>
      <w:r>
        <w:t xml:space="preserve"> Tespit edilen risklerin olasılığını, etkisini ve önceliğini belirleme çalışmalarını ifade eder.</w:t>
      </w:r>
    </w:p>
    <w:p w:rsidR="00C4512C" w:rsidRDefault="00000000" w14:paraId="1EAD2464" w14:textId="77777777">
      <w:pPr>
        <w:jc w:val="both"/>
      </w:pPr>
      <w:r>
        <w:rPr>
          <w:b/>
        </w:rPr>
        <w:t>İdare Risk Koordinatörü:</w:t>
      </w:r>
      <w:r>
        <w:t xml:space="preserve"> Rektör tarafından görevlendirilen Rektör Yardımcısını ifade eder.</w:t>
      </w:r>
    </w:p>
    <w:p w:rsidR="00C4512C" w:rsidRDefault="00000000" w14:paraId="7359D629" w14:textId="77777777">
      <w:pPr>
        <w:jc w:val="both"/>
      </w:pPr>
      <w:r>
        <w:rPr>
          <w:b/>
        </w:rPr>
        <w:t>Birim Risk Koordinatörü:</w:t>
      </w:r>
      <w:r>
        <w:t xml:space="preserve"> Birim yöneticisi tarafından belirlenen; fakültelerde dekan yardımcısı, enstitü/yüksekokul/meslek yüksekokulu/araştırma merkezlerinde müdür yardımcısı, daire başkanlıklarında şube müdürü vb. görevliyi ifade eder.</w:t>
      </w:r>
    </w:p>
    <w:p w:rsidR="00C4512C" w:rsidRDefault="00000000" w14:paraId="5879C7D2" w14:textId="77777777">
      <w:pPr>
        <w:jc w:val="both"/>
      </w:pPr>
      <w:r>
        <w:rPr>
          <w:b/>
        </w:rPr>
        <w:t>Birim Risk Yönetim Ekibi:</w:t>
      </w:r>
      <w:r>
        <w:t xml:space="preserve"> Birim yöneticisi, birim risk koordinatörü ve alt birim risk koordinatöründen oluşan en az üç kişilik ekibi ifade eder.</w:t>
      </w:r>
    </w:p>
    <w:p w:rsidR="00C4512C" w:rsidRDefault="00000000" w14:paraId="52F3B6E7" w14:textId="77777777">
      <w:pPr>
        <w:jc w:val="both"/>
      </w:pPr>
      <w:r>
        <w:rPr>
          <w:b/>
        </w:rPr>
        <w:lastRenderedPageBreak/>
        <w:t>İç Kontrol İzleme ve Yönlendirme Kurulu (İKİYK):</w:t>
      </w:r>
      <w:r>
        <w:t xml:space="preserve"> Giresun Üniversitesi İç Kontrol İzleme ve Yönlendirme Kurulu Çalışma Usul ve Esasları Yönergesi kapsamında oluşturulan Kurulu ifade eder.</w:t>
      </w:r>
    </w:p>
    <w:p w:rsidR="00C4512C" w:rsidRDefault="00000000" w14:paraId="6ABCA02B" w14:textId="77777777">
      <w:pPr>
        <w:jc w:val="both"/>
      </w:pPr>
      <w:r>
        <w:rPr>
          <w:b/>
        </w:rPr>
        <w:t>GÜYBİS:</w:t>
      </w:r>
      <w:r>
        <w:t xml:space="preserve"> Giresun Üniversitesi Yönetim Bilgi Sistemini (ekampus.giresun.edu.tr) ifade eder.</w:t>
      </w:r>
    </w:p>
    <w:p w:rsidR="00C4512C" w:rsidRDefault="00000000" w14:paraId="6159932C" w14:textId="77777777">
      <w:pPr>
        <w:jc w:val="both"/>
      </w:pPr>
      <w:r>
        <w:rPr>
          <w:b/>
        </w:rPr>
        <w:t>SYBS:</w:t>
      </w:r>
      <w:r>
        <w:t xml:space="preserve"> GÜYBİS bünyesinde yer alan ve risk tanımlamaları ile risk raporlarının yürütüldüğü Stratejik Yönetim Bilgi Sistemini ifade eder.</w:t>
      </w:r>
    </w:p>
    <w:p w:rsidR="00C4512C" w:rsidRDefault="00000000" w14:paraId="446FDAFF" w14:textId="77777777">
      <w:pPr>
        <w:jc w:val="both"/>
      </w:pPr>
      <w:r>
        <w:rPr>
          <w:b/>
        </w:rPr>
        <w:t>SGDB:</w:t>
      </w:r>
      <w:r>
        <w:t xml:space="preserve"> Strateji Geliştirme Daire Başkanlığını ifade eder.</w:t>
      </w:r>
    </w:p>
    <w:p w:rsidR="00C4512C" w:rsidRDefault="00000000" w14:paraId="12314494" w14:textId="77777777">
      <w:pPr>
        <w:jc w:val="both"/>
      </w:pPr>
      <w:r>
        <w:rPr>
          <w:b/>
        </w:rPr>
        <w:t>PUKÖ:</w:t>
      </w:r>
      <w:r>
        <w:t xml:space="preserve"> Planla-Uygula-Kontrol Et-Önlem Al döngüsünü ifade eder.</w:t>
      </w:r>
    </w:p>
    <w:p w:rsidR="00C4512C" w:rsidRDefault="00000000" w14:paraId="07209060" w14:textId="77777777">
      <w:r>
        <w:rPr>
          <w:b/>
        </w:rPr>
        <w:t>4. SORUMLULAR</w:t>
      </w:r>
    </w:p>
    <w:p w:rsidR="00C4512C" w:rsidRDefault="00000000" w14:paraId="074F659B" w14:textId="77777777">
      <w:pPr>
        <w:jc w:val="both"/>
      </w:pPr>
      <w:r>
        <w:t>Bu prosedürün hazırlanması ve yönetiminden Kalite Koordinatörlüğü sorumludur. Risk yönetimi organizasyon yapısı ve sorumlulukları, Giresun Üniversitesi Kurumsal Risk Yönetimi Yönergesi hükümleri çerçevesinde aşağıdaki şekilde yürütülür:</w:t>
      </w:r>
    </w:p>
    <w:p w:rsidR="00C4512C" w:rsidRDefault="00000000" w14:paraId="0BF99DAA" w14:textId="77777777">
      <w:pPr>
        <w:jc w:val="both"/>
      </w:pPr>
      <w:r>
        <w:t>• Rektör: Risk yönetimi stratejisinin belirlenmesini, iç kontrol ve kalite süreçleriyle bütünleşik kurulmasını ve işleyişinin gözetilmesini sağlar.</w:t>
      </w:r>
    </w:p>
    <w:p w:rsidR="00C4512C" w:rsidRDefault="00000000" w14:paraId="022238A3" w14:textId="77777777">
      <w:pPr>
        <w:jc w:val="both"/>
      </w:pPr>
      <w:r>
        <w:t>• İç Kontrol İzleme ve Yönlendirme Kurulu (İKİYK): Risk bilgisini ve riske yönelik kararları inceler, değerlendirir ve yönlendirir.</w:t>
      </w:r>
    </w:p>
    <w:p w:rsidR="00C4512C" w:rsidRDefault="00000000" w14:paraId="75E36954" w14:textId="77777777">
      <w:pPr>
        <w:jc w:val="both"/>
      </w:pPr>
      <w:r>
        <w:t>• İdare Risk Koordinatörü (Rektör Yardımcısı): Birim risk raporlarını konsolide eder, İKİYK ve Rektöre sunar; birimler arası koordinasyonu sağlar.</w:t>
      </w:r>
    </w:p>
    <w:p w:rsidR="00C4512C" w:rsidRDefault="00000000" w14:paraId="304CAA7D" w14:textId="77777777">
      <w:pPr>
        <w:jc w:val="both"/>
      </w:pPr>
      <w:r>
        <w:t>• Birim Risk Koordinatörü / Alt Birim Risk Koordinatörü: Birim/alt birim risklerinin belirlenmesini, GÜYBİS’e işlenmesini ve izlenmesini yürütür.</w:t>
      </w:r>
    </w:p>
    <w:p w:rsidR="00C4512C" w:rsidRDefault="00000000" w14:paraId="08354844" w14:textId="77777777">
      <w:pPr>
        <w:jc w:val="both"/>
      </w:pPr>
      <w:r>
        <w:t>• Birim Risk Yönetim Ekibi: Birim risklerini belirler, değerlendirir ve cevap/aksiyonları planlar.</w:t>
      </w:r>
    </w:p>
    <w:p w:rsidR="00C4512C" w:rsidRDefault="00000000" w14:paraId="7F221DC9" w14:textId="77777777">
      <w:pPr>
        <w:jc w:val="both"/>
      </w:pPr>
      <w:r>
        <w:t>• Çalışanlar: Görev alanlarındaki riskleri tespit ederek birim risk koordinatörüne bildirir.</w:t>
      </w:r>
    </w:p>
    <w:p w:rsidR="00C4512C" w:rsidRDefault="00000000" w14:paraId="5ADD93FD" w14:textId="77777777">
      <w:pPr>
        <w:jc w:val="both"/>
      </w:pPr>
      <w:r>
        <w:t>• Strateji Geliştirme Daire Başkanlığı (SGDB): GÜYBİS/SYBS altyapısının işletilmesi ve raporlama süreçlerinde destek sağlar.</w:t>
      </w:r>
    </w:p>
    <w:p w:rsidR="00C4512C" w:rsidRDefault="00000000" w14:paraId="01834760" w14:textId="77777777">
      <w:pPr>
        <w:jc w:val="both"/>
      </w:pPr>
      <w:r>
        <w:t>• İç Denetim Birimi: Risk yönetimi sürecinin etkinliğini bağımsız olarak değerlendirir.</w:t>
      </w:r>
    </w:p>
    <w:p w:rsidR="00C4512C" w:rsidRDefault="00000000" w14:paraId="2455E805" w14:textId="77777777">
      <w:pPr>
        <w:jc w:val="both"/>
      </w:pPr>
      <w:r>
        <w:t>• Kalite Koordinatörlüğü: Sürecin EYS ile uyumunu, izlenmesini ve iyileştirilmesini koordine eder.</w:t>
      </w:r>
    </w:p>
    <w:p w:rsidR="00C4512C" w:rsidRDefault="00000000" w14:paraId="0EB2DFDD" w14:textId="77777777">
      <w:r>
        <w:rPr>
          <w:b/>
        </w:rPr>
        <w:t>5. UYGULAMA</w:t>
      </w:r>
    </w:p>
    <w:p w:rsidR="00C4512C" w:rsidRDefault="00000000" w14:paraId="7F42CA4E" w14:textId="77777777">
      <w:r>
        <w:rPr>
          <w:b/>
        </w:rPr>
        <w:t>5.1. Genel</w:t>
      </w:r>
    </w:p>
    <w:p w:rsidR="00C4512C" w:rsidRDefault="00000000" w14:paraId="4058108E" w14:textId="77777777">
      <w:pPr>
        <w:jc w:val="both"/>
      </w:pPr>
      <w:r>
        <w:t>Risk ve fırsatları belirleme faaliyetleri; EYS kapsamında istenen sonuçlara ulaşılması, olumlu etkilerin artırılması, istenmeyen etkilerin önlenmesi veya azaltılması ve sürekli iyileştirmenin sağlanması amacıyla yürütülür. Risk yönetimi, Üniversite genelinde bütünsel olarak ele alınır ve risk tanımlamaları ile tüm üniversitenin ve bağımsız birimlerin risk raporları GÜYBİS Stratejik Yönetim Bilgi Sistemi (SYBS) üzerinden işletilir.</w:t>
      </w:r>
    </w:p>
    <w:p w:rsidR="00465AFD" w:rsidRDefault="00465AFD" w14:paraId="3E696F33" w14:textId="77777777">
      <w:pPr>
        <w:rPr>
          <w:b/>
        </w:rPr>
      </w:pPr>
    </w:p>
    <w:p w:rsidR="00465AFD" w:rsidRDefault="00465AFD" w14:paraId="238EC53F" w14:textId="77777777">
      <w:pPr>
        <w:rPr>
          <w:b/>
        </w:rPr>
      </w:pPr>
    </w:p>
    <w:p w:rsidR="00C4512C" w:rsidRDefault="00000000" w14:paraId="0D7FDD33" w14:textId="6DDBC7D9">
      <w:r>
        <w:rPr>
          <w:b/>
        </w:rPr>
        <w:lastRenderedPageBreak/>
        <w:t>5.2. Risklerin ve Fırsatların Belirlenmesi</w:t>
      </w:r>
    </w:p>
    <w:p w:rsidR="00C4512C" w:rsidRDefault="00000000" w14:paraId="7D55972F" w14:textId="77777777">
      <w:pPr>
        <w:jc w:val="both"/>
      </w:pPr>
      <w:r>
        <w:t>Risk ve fırsatlar belirlenirken; beyin fırtınası, mülakat ve atölye çalışmaları, dâhili analiz, geçmiş veriler, iş akış analizi, uyarıcı göstergeler ile süreç sorumlularının değerlendirmesi yöntemlerinden biri veya birkaçı kullanılır. Birimler, görev alanlarına ilişkin tespit ettikleri riskleri GÜYBİS sistemine işler. Belirlenen her risk için olasılık ve etki değerleri 1 ile 5 arasında derecelendirilir.</w:t>
      </w:r>
    </w:p>
    <w:p w:rsidR="00C4512C" w:rsidRDefault="00000000" w14:paraId="5795E5FA" w14:textId="77777777">
      <w:r>
        <w:rPr>
          <w:b/>
        </w:rPr>
        <w:t>5.3. Risklerin Değerlendirilmesi</w:t>
      </w:r>
    </w:p>
    <w:p w:rsidR="00C4512C" w:rsidRDefault="00000000" w14:paraId="2CA4840F" w14:textId="77777777">
      <w:pPr>
        <w:jc w:val="both"/>
      </w:pPr>
      <w:r>
        <w:t>Her risk için gerçekleşme olasılığı Tablo 1’e, etkisi ise Tablo 2’ye göre 1-5 aralığında değerlendirilir.</w:t>
      </w:r>
    </w:p>
    <w:p w:rsidR="00C4512C" w:rsidRDefault="00000000" w14:paraId="3E6AFDEE" w14:textId="77777777">
      <w:r>
        <w:rPr>
          <w:b/>
        </w:rPr>
        <w:t>Tablo 1. Riskin Gerçekleşme Olasılığı</w:t>
      </w:r>
    </w:p>
    <w:tbl>
      <w:tblPr>
        <w:tblStyle w:val="TabloKlavuzu"/>
        <w:tblW w:w="0" w:type="auto"/>
        <w:jc w:val="center"/>
        <w:tblLook w:val="04A0" w:firstRow="1" w:lastRow="0" w:firstColumn="1" w:lastColumn="0" w:noHBand="0" w:noVBand="1"/>
      </w:tblPr>
      <w:tblGrid>
        <w:gridCol w:w="5270"/>
        <w:gridCol w:w="5270"/>
      </w:tblGrid>
      <w:tr w:rsidR="00C4512C" w:rsidTr="00465AFD" w14:paraId="7888147A" w14:textId="77777777">
        <w:trPr>
          <w:trHeight w:val="489"/>
          <w:jc w:val="center"/>
        </w:trPr>
        <w:tc>
          <w:tcPr>
            <w:tcW w:w="5270" w:type="dxa"/>
            <w:shd w:val="clear" w:color="auto" w:fill="002060"/>
            <w:vAlign w:val="center"/>
          </w:tcPr>
          <w:p w:rsidR="00C4512C" w:rsidP="00465AFD" w:rsidRDefault="00000000" w14:paraId="299C5C11" w14:textId="77777777">
            <w:pPr>
              <w:jc w:val="center"/>
            </w:pPr>
            <w:proofErr w:type="spellStart"/>
            <w:r>
              <w:rPr>
                <w:b/>
                <w:color w:val="FFFFFF"/>
                <w:sz w:val="20"/>
              </w:rPr>
              <w:t>Olasılık</w:t>
            </w:r>
            <w:proofErr w:type="spellEnd"/>
            <w:r>
              <w:rPr>
                <w:b/>
                <w:color w:val="FFFFFF"/>
                <w:sz w:val="20"/>
              </w:rPr>
              <w:t xml:space="preserve"> </w:t>
            </w:r>
            <w:proofErr w:type="spellStart"/>
            <w:r>
              <w:rPr>
                <w:b/>
                <w:color w:val="FFFFFF"/>
                <w:sz w:val="20"/>
              </w:rPr>
              <w:t>Tanımı</w:t>
            </w:r>
            <w:proofErr w:type="spellEnd"/>
          </w:p>
        </w:tc>
        <w:tc>
          <w:tcPr>
            <w:tcW w:w="5270" w:type="dxa"/>
            <w:shd w:val="clear" w:color="auto" w:fill="002060"/>
            <w:vAlign w:val="center"/>
          </w:tcPr>
          <w:p w:rsidR="00C4512C" w:rsidP="00465AFD" w:rsidRDefault="00000000" w14:paraId="6E84D263" w14:textId="77777777">
            <w:pPr>
              <w:jc w:val="center"/>
            </w:pPr>
            <w:r>
              <w:rPr>
                <w:b/>
                <w:color w:val="FFFFFF"/>
                <w:sz w:val="20"/>
              </w:rPr>
              <w:t>Açıklama</w:t>
            </w:r>
          </w:p>
        </w:tc>
      </w:tr>
      <w:tr w:rsidR="00C4512C" w:rsidTr="00465AFD" w14:paraId="7D30DE91" w14:textId="77777777">
        <w:trPr>
          <w:jc w:val="center"/>
        </w:trPr>
        <w:tc>
          <w:tcPr>
            <w:tcW w:w="5270" w:type="dxa"/>
            <w:vAlign w:val="center"/>
          </w:tcPr>
          <w:p w:rsidR="00C4512C" w:rsidP="00465AFD" w:rsidRDefault="00000000" w14:paraId="1786778C" w14:textId="77777777">
            <w:pPr>
              <w:spacing w:line="360" w:lineRule="auto"/>
            </w:pPr>
            <w:proofErr w:type="spellStart"/>
            <w:r>
              <w:rPr>
                <w:sz w:val="20"/>
              </w:rPr>
              <w:t>Çok</w:t>
            </w:r>
            <w:proofErr w:type="spellEnd"/>
            <w:r>
              <w:rPr>
                <w:sz w:val="20"/>
              </w:rPr>
              <w:t xml:space="preserve"> Yüksek (5)</w:t>
            </w:r>
          </w:p>
        </w:tc>
        <w:tc>
          <w:tcPr>
            <w:tcW w:w="5270" w:type="dxa"/>
          </w:tcPr>
          <w:p w:rsidR="00C4512C" w:rsidP="00465AFD" w:rsidRDefault="00000000" w14:paraId="1CA4E6A4" w14:textId="77777777">
            <w:pPr>
              <w:spacing w:line="360" w:lineRule="auto"/>
            </w:pPr>
            <w:r>
              <w:rPr>
                <w:sz w:val="20"/>
              </w:rPr>
              <w:t>Risk durumu birçok kez gerçekleşti, şu anda da gerçekleşiyor.</w:t>
            </w:r>
          </w:p>
        </w:tc>
      </w:tr>
      <w:tr w:rsidR="00C4512C" w:rsidTr="00465AFD" w14:paraId="53FCFE7F" w14:textId="77777777">
        <w:trPr>
          <w:jc w:val="center"/>
        </w:trPr>
        <w:tc>
          <w:tcPr>
            <w:tcW w:w="5270" w:type="dxa"/>
            <w:vAlign w:val="center"/>
          </w:tcPr>
          <w:p w:rsidR="00C4512C" w:rsidP="00465AFD" w:rsidRDefault="00000000" w14:paraId="56D75B55" w14:textId="77777777">
            <w:pPr>
              <w:spacing w:line="360" w:lineRule="auto"/>
            </w:pPr>
            <w:r>
              <w:rPr>
                <w:sz w:val="20"/>
              </w:rPr>
              <w:t>Yüksek (4)</w:t>
            </w:r>
          </w:p>
        </w:tc>
        <w:tc>
          <w:tcPr>
            <w:tcW w:w="5270" w:type="dxa"/>
          </w:tcPr>
          <w:p w:rsidR="00C4512C" w:rsidP="00465AFD" w:rsidRDefault="00000000" w14:paraId="1ED7B30F" w14:textId="77777777">
            <w:pPr>
              <w:spacing w:line="360" w:lineRule="auto"/>
            </w:pPr>
            <w:r>
              <w:rPr>
                <w:sz w:val="20"/>
              </w:rPr>
              <w:t>Risk durumu birçok kez gerçekleşti; ortam gerçekleşmesi için uygun.</w:t>
            </w:r>
          </w:p>
        </w:tc>
      </w:tr>
      <w:tr w:rsidR="00C4512C" w:rsidTr="00465AFD" w14:paraId="00E5619A" w14:textId="77777777">
        <w:trPr>
          <w:jc w:val="center"/>
        </w:trPr>
        <w:tc>
          <w:tcPr>
            <w:tcW w:w="5270" w:type="dxa"/>
            <w:vAlign w:val="center"/>
          </w:tcPr>
          <w:p w:rsidR="00C4512C" w:rsidP="00465AFD" w:rsidRDefault="00000000" w14:paraId="2BBC22E2" w14:textId="77777777">
            <w:pPr>
              <w:spacing w:line="360" w:lineRule="auto"/>
            </w:pPr>
            <w:r>
              <w:rPr>
                <w:sz w:val="20"/>
              </w:rPr>
              <w:t>Orta (3)</w:t>
            </w:r>
          </w:p>
        </w:tc>
        <w:tc>
          <w:tcPr>
            <w:tcW w:w="5270" w:type="dxa"/>
          </w:tcPr>
          <w:p w:rsidR="00C4512C" w:rsidP="00465AFD" w:rsidRDefault="00000000" w14:paraId="6B92FC49" w14:textId="77777777">
            <w:pPr>
              <w:spacing w:line="360" w:lineRule="auto"/>
            </w:pPr>
            <w:r>
              <w:rPr>
                <w:sz w:val="20"/>
              </w:rPr>
              <w:t>Risk ancak belirli durumlarda gerçekleşebilir; benzer süreçlerde gerçekleşti.</w:t>
            </w:r>
          </w:p>
        </w:tc>
      </w:tr>
      <w:tr w:rsidR="00C4512C" w:rsidTr="00465AFD" w14:paraId="60F13F3D" w14:textId="77777777">
        <w:trPr>
          <w:jc w:val="center"/>
        </w:trPr>
        <w:tc>
          <w:tcPr>
            <w:tcW w:w="5270" w:type="dxa"/>
            <w:vAlign w:val="center"/>
          </w:tcPr>
          <w:p w:rsidR="00C4512C" w:rsidP="00465AFD" w:rsidRDefault="00000000" w14:paraId="7ADE05C4" w14:textId="77777777">
            <w:pPr>
              <w:spacing w:line="360" w:lineRule="auto"/>
            </w:pPr>
            <w:r>
              <w:rPr>
                <w:sz w:val="20"/>
              </w:rPr>
              <w:t>Düşük (2)</w:t>
            </w:r>
          </w:p>
        </w:tc>
        <w:tc>
          <w:tcPr>
            <w:tcW w:w="5270" w:type="dxa"/>
          </w:tcPr>
          <w:p w:rsidR="00C4512C" w:rsidP="00465AFD" w:rsidRDefault="00000000" w14:paraId="32903295" w14:textId="77777777">
            <w:pPr>
              <w:spacing w:line="360" w:lineRule="auto"/>
            </w:pPr>
            <w:r>
              <w:rPr>
                <w:sz w:val="20"/>
              </w:rPr>
              <w:t>Risk yalnızca özel koşullarda gerçekleşebilir.</w:t>
            </w:r>
          </w:p>
        </w:tc>
      </w:tr>
      <w:tr w:rsidR="00C4512C" w:rsidTr="00465AFD" w14:paraId="28A65088" w14:textId="77777777">
        <w:trPr>
          <w:jc w:val="center"/>
        </w:trPr>
        <w:tc>
          <w:tcPr>
            <w:tcW w:w="5270" w:type="dxa"/>
            <w:vAlign w:val="center"/>
          </w:tcPr>
          <w:p w:rsidR="00C4512C" w:rsidP="00465AFD" w:rsidRDefault="00000000" w14:paraId="22140172" w14:textId="77777777">
            <w:pPr>
              <w:spacing w:line="360" w:lineRule="auto"/>
            </w:pPr>
            <w:r>
              <w:rPr>
                <w:sz w:val="20"/>
              </w:rPr>
              <w:t>Çok Düşük (1)</w:t>
            </w:r>
          </w:p>
        </w:tc>
        <w:tc>
          <w:tcPr>
            <w:tcW w:w="5270" w:type="dxa"/>
          </w:tcPr>
          <w:p w:rsidR="00C4512C" w:rsidP="00465AFD" w:rsidRDefault="00000000" w14:paraId="748836AC" w14:textId="77777777">
            <w:pPr>
              <w:spacing w:line="360" w:lineRule="auto"/>
            </w:pPr>
            <w:r>
              <w:rPr>
                <w:sz w:val="20"/>
              </w:rPr>
              <w:t>Riskin gerçekleşmesi söz konusu değil; istisnai durum.</w:t>
            </w:r>
          </w:p>
        </w:tc>
      </w:tr>
    </w:tbl>
    <w:p w:rsidR="00C4512C" w:rsidRDefault="00C4512C" w14:paraId="0F6C4867" w14:textId="77777777">
      <w:pPr>
        <w:jc w:val="both"/>
      </w:pPr>
    </w:p>
    <w:p w:rsidR="00C4512C" w:rsidRDefault="00000000" w14:paraId="48224679" w14:textId="77777777">
      <w:r>
        <w:rPr>
          <w:b/>
        </w:rPr>
        <w:t>Tablo 2. Riskin Etkisi</w:t>
      </w:r>
    </w:p>
    <w:tbl>
      <w:tblPr>
        <w:tblStyle w:val="TabloKlavuzu"/>
        <w:tblW w:w="0" w:type="auto"/>
        <w:jc w:val="center"/>
        <w:tblLook w:val="04A0" w:firstRow="1" w:lastRow="0" w:firstColumn="1" w:lastColumn="0" w:noHBand="0" w:noVBand="1"/>
      </w:tblPr>
      <w:tblGrid>
        <w:gridCol w:w="5270"/>
        <w:gridCol w:w="5270"/>
      </w:tblGrid>
      <w:tr w:rsidR="00C4512C" w:rsidTr="00465AFD" w14:paraId="3D841E1C" w14:textId="77777777">
        <w:trPr>
          <w:trHeight w:val="503"/>
          <w:jc w:val="center"/>
        </w:trPr>
        <w:tc>
          <w:tcPr>
            <w:tcW w:w="5270" w:type="dxa"/>
            <w:shd w:val="clear" w:color="auto" w:fill="002060"/>
            <w:vAlign w:val="center"/>
          </w:tcPr>
          <w:p w:rsidR="00C4512C" w:rsidP="00465AFD" w:rsidRDefault="00000000" w14:paraId="65F66C7E" w14:textId="77777777">
            <w:pPr>
              <w:jc w:val="center"/>
            </w:pPr>
            <w:proofErr w:type="spellStart"/>
            <w:r>
              <w:rPr>
                <w:b/>
                <w:color w:val="FFFFFF"/>
                <w:sz w:val="20"/>
              </w:rPr>
              <w:t>Etki</w:t>
            </w:r>
            <w:proofErr w:type="spellEnd"/>
            <w:r>
              <w:rPr>
                <w:b/>
                <w:color w:val="FFFFFF"/>
                <w:sz w:val="20"/>
              </w:rPr>
              <w:t xml:space="preserve"> </w:t>
            </w:r>
            <w:proofErr w:type="spellStart"/>
            <w:r>
              <w:rPr>
                <w:b/>
                <w:color w:val="FFFFFF"/>
                <w:sz w:val="20"/>
              </w:rPr>
              <w:t>Tanımı</w:t>
            </w:r>
            <w:proofErr w:type="spellEnd"/>
          </w:p>
        </w:tc>
        <w:tc>
          <w:tcPr>
            <w:tcW w:w="5270" w:type="dxa"/>
            <w:shd w:val="clear" w:color="auto" w:fill="002060"/>
            <w:vAlign w:val="center"/>
          </w:tcPr>
          <w:p w:rsidR="00C4512C" w:rsidP="00465AFD" w:rsidRDefault="00000000" w14:paraId="39AD0420" w14:textId="77777777">
            <w:pPr>
              <w:jc w:val="center"/>
            </w:pPr>
            <w:r>
              <w:rPr>
                <w:b/>
                <w:color w:val="FFFFFF"/>
                <w:sz w:val="20"/>
              </w:rPr>
              <w:t>Açıklama</w:t>
            </w:r>
          </w:p>
        </w:tc>
      </w:tr>
      <w:tr w:rsidR="00C4512C" w:rsidTr="00465AFD" w14:paraId="1B371F80" w14:textId="77777777">
        <w:trPr>
          <w:jc w:val="center"/>
        </w:trPr>
        <w:tc>
          <w:tcPr>
            <w:tcW w:w="5270" w:type="dxa"/>
            <w:vAlign w:val="center"/>
          </w:tcPr>
          <w:p w:rsidR="00C4512C" w:rsidP="00465AFD" w:rsidRDefault="00000000" w14:paraId="1083F3E3" w14:textId="77777777">
            <w:pPr>
              <w:spacing w:line="360" w:lineRule="auto"/>
            </w:pPr>
            <w:proofErr w:type="spellStart"/>
            <w:r>
              <w:rPr>
                <w:sz w:val="20"/>
              </w:rPr>
              <w:t>Çok</w:t>
            </w:r>
            <w:proofErr w:type="spellEnd"/>
            <w:r>
              <w:rPr>
                <w:sz w:val="20"/>
              </w:rPr>
              <w:t xml:space="preserve"> Yüksek (5)</w:t>
            </w:r>
          </w:p>
        </w:tc>
        <w:tc>
          <w:tcPr>
            <w:tcW w:w="5270" w:type="dxa"/>
            <w:vAlign w:val="center"/>
          </w:tcPr>
          <w:p w:rsidR="00C4512C" w:rsidP="00465AFD" w:rsidRDefault="00000000" w14:paraId="31300B88" w14:textId="77777777">
            <w:pPr>
              <w:spacing w:line="360" w:lineRule="auto"/>
            </w:pPr>
            <w:r>
              <w:rPr>
                <w:sz w:val="20"/>
              </w:rPr>
              <w:t>Çok ciddi finansal kayıp, ciddi itibar kaybı, uluslararası olumsuz yansıma.</w:t>
            </w:r>
          </w:p>
        </w:tc>
      </w:tr>
      <w:tr w:rsidR="00C4512C" w:rsidTr="00465AFD" w14:paraId="6043BE71" w14:textId="77777777">
        <w:trPr>
          <w:jc w:val="center"/>
        </w:trPr>
        <w:tc>
          <w:tcPr>
            <w:tcW w:w="5270" w:type="dxa"/>
            <w:vAlign w:val="center"/>
          </w:tcPr>
          <w:p w:rsidR="00C4512C" w:rsidP="00465AFD" w:rsidRDefault="00000000" w14:paraId="2CC022BB" w14:textId="77777777">
            <w:pPr>
              <w:spacing w:line="360" w:lineRule="auto"/>
            </w:pPr>
            <w:r>
              <w:rPr>
                <w:sz w:val="20"/>
              </w:rPr>
              <w:t>Yüksek (4)</w:t>
            </w:r>
          </w:p>
        </w:tc>
        <w:tc>
          <w:tcPr>
            <w:tcW w:w="5270" w:type="dxa"/>
            <w:vAlign w:val="center"/>
          </w:tcPr>
          <w:p w:rsidR="00C4512C" w:rsidP="00465AFD" w:rsidRDefault="00000000" w14:paraId="6201205F" w14:textId="77777777">
            <w:pPr>
              <w:spacing w:line="360" w:lineRule="auto"/>
            </w:pPr>
            <w:r>
              <w:rPr>
                <w:sz w:val="20"/>
              </w:rPr>
              <w:t>Ciddi finansal kayıp, itibarın zayıflaması, kısa süreli olumsuz yansıma.</w:t>
            </w:r>
          </w:p>
        </w:tc>
      </w:tr>
      <w:tr w:rsidR="00C4512C" w:rsidTr="00465AFD" w14:paraId="0655F143" w14:textId="77777777">
        <w:trPr>
          <w:jc w:val="center"/>
        </w:trPr>
        <w:tc>
          <w:tcPr>
            <w:tcW w:w="5270" w:type="dxa"/>
            <w:vAlign w:val="center"/>
          </w:tcPr>
          <w:p w:rsidR="00C4512C" w:rsidP="00465AFD" w:rsidRDefault="00000000" w14:paraId="21EDDE67" w14:textId="77777777">
            <w:pPr>
              <w:spacing w:line="360" w:lineRule="auto"/>
            </w:pPr>
            <w:r>
              <w:rPr>
                <w:sz w:val="20"/>
              </w:rPr>
              <w:t>Orta (3)</w:t>
            </w:r>
          </w:p>
        </w:tc>
        <w:tc>
          <w:tcPr>
            <w:tcW w:w="5270" w:type="dxa"/>
            <w:vAlign w:val="center"/>
          </w:tcPr>
          <w:p w:rsidR="00C4512C" w:rsidP="00465AFD" w:rsidRDefault="00000000" w14:paraId="3D79D7BB" w14:textId="77777777">
            <w:pPr>
              <w:spacing w:line="360" w:lineRule="auto"/>
            </w:pPr>
            <w:r>
              <w:rPr>
                <w:sz w:val="20"/>
              </w:rPr>
              <w:t>Önemli finansal kayıp, itibarın kaybolmasına yol açabilecek durumlar.</w:t>
            </w:r>
          </w:p>
        </w:tc>
      </w:tr>
      <w:tr w:rsidR="00C4512C" w:rsidTr="00465AFD" w14:paraId="781C07B7" w14:textId="77777777">
        <w:trPr>
          <w:jc w:val="center"/>
        </w:trPr>
        <w:tc>
          <w:tcPr>
            <w:tcW w:w="5270" w:type="dxa"/>
            <w:vAlign w:val="center"/>
          </w:tcPr>
          <w:p w:rsidR="00C4512C" w:rsidP="00465AFD" w:rsidRDefault="00000000" w14:paraId="2A154007" w14:textId="77777777">
            <w:pPr>
              <w:spacing w:line="360" w:lineRule="auto"/>
            </w:pPr>
            <w:r>
              <w:rPr>
                <w:sz w:val="20"/>
              </w:rPr>
              <w:t>Düşük (2)</w:t>
            </w:r>
          </w:p>
        </w:tc>
        <w:tc>
          <w:tcPr>
            <w:tcW w:w="5270" w:type="dxa"/>
            <w:vAlign w:val="center"/>
          </w:tcPr>
          <w:p w:rsidR="00C4512C" w:rsidP="00465AFD" w:rsidRDefault="00000000" w14:paraId="0C461839" w14:textId="77777777">
            <w:pPr>
              <w:spacing w:line="360" w:lineRule="auto"/>
            </w:pPr>
            <w:r>
              <w:rPr>
                <w:sz w:val="20"/>
              </w:rPr>
              <w:t>Önemli olmayan finansal kayıp, yerel düzeyde olumsuz yansıma.</w:t>
            </w:r>
          </w:p>
        </w:tc>
      </w:tr>
      <w:tr w:rsidR="00C4512C" w:rsidTr="00465AFD" w14:paraId="278C11F8" w14:textId="77777777">
        <w:trPr>
          <w:jc w:val="center"/>
        </w:trPr>
        <w:tc>
          <w:tcPr>
            <w:tcW w:w="5270" w:type="dxa"/>
            <w:vAlign w:val="center"/>
          </w:tcPr>
          <w:p w:rsidR="00C4512C" w:rsidP="00465AFD" w:rsidRDefault="00000000" w14:paraId="6660DC7B" w14:textId="77777777">
            <w:pPr>
              <w:spacing w:line="360" w:lineRule="auto"/>
            </w:pPr>
            <w:r>
              <w:rPr>
                <w:sz w:val="20"/>
              </w:rPr>
              <w:t>Çok Düşük (1)</w:t>
            </w:r>
          </w:p>
        </w:tc>
        <w:tc>
          <w:tcPr>
            <w:tcW w:w="5270" w:type="dxa"/>
            <w:vAlign w:val="center"/>
          </w:tcPr>
          <w:p w:rsidR="00C4512C" w:rsidP="00465AFD" w:rsidRDefault="00000000" w14:paraId="2CF75531" w14:textId="77777777">
            <w:pPr>
              <w:spacing w:line="360" w:lineRule="auto"/>
            </w:pPr>
            <w:r>
              <w:rPr>
                <w:sz w:val="20"/>
              </w:rPr>
              <w:t>İtibar kaybı yaratmayacak, önemsiz finansal etkisi olan durumlar.</w:t>
            </w:r>
          </w:p>
        </w:tc>
      </w:tr>
    </w:tbl>
    <w:p w:rsidR="00C4512C" w:rsidRDefault="00C4512C" w14:paraId="439A106A" w14:textId="77777777">
      <w:pPr>
        <w:jc w:val="both"/>
      </w:pPr>
    </w:p>
    <w:p w:rsidR="00C4512C" w:rsidRDefault="00000000" w14:paraId="08748AA1" w14:textId="77777777">
      <w:r>
        <w:rPr>
          <w:b/>
        </w:rPr>
        <w:t>5.4. Risk Hesaplama ve Risk Matrisi</w:t>
      </w:r>
    </w:p>
    <w:p w:rsidR="00C4512C" w:rsidRDefault="00000000" w14:paraId="79F6E6FA" w14:textId="77777777">
      <w:pPr>
        <w:jc w:val="both"/>
      </w:pPr>
      <w:r>
        <w:t>Risk puanı, olasılık ile etki değerinin çarpımı (Risk Puanı = Olasılık × Etki) ile hesaplanır. Elde edilen risk puanları Tablo 3’teki Risk Matrisinde gösterilir ve puanın bulunduğu renk bölgesine göre risk seviyesi belirlenir.</w:t>
      </w:r>
    </w:p>
    <w:p w:rsidR="00465AFD" w:rsidRDefault="00465AFD" w14:paraId="0CAAD88F" w14:textId="77777777">
      <w:pPr>
        <w:rPr>
          <w:b/>
        </w:rPr>
      </w:pPr>
    </w:p>
    <w:p w:rsidR="00C4512C" w:rsidRDefault="00000000" w14:paraId="1007F045" w14:textId="1142A079">
      <w:r>
        <w:rPr>
          <w:b/>
        </w:rPr>
        <w:lastRenderedPageBreak/>
        <w:t>Tablo 3. Risk Matrisi (Olasılık × Etki)</w:t>
      </w:r>
    </w:p>
    <w:tbl>
      <w:tblPr>
        <w:tblStyle w:val="TabloKlavuzu"/>
        <w:tblW w:w="0" w:type="auto"/>
        <w:jc w:val="center"/>
        <w:tblLook w:val="04A0" w:firstRow="1" w:lastRow="0" w:firstColumn="1" w:lastColumn="0" w:noHBand="0" w:noVBand="1"/>
      </w:tblPr>
      <w:tblGrid>
        <w:gridCol w:w="1757"/>
        <w:gridCol w:w="1757"/>
        <w:gridCol w:w="1757"/>
        <w:gridCol w:w="1757"/>
        <w:gridCol w:w="1757"/>
        <w:gridCol w:w="1757"/>
      </w:tblGrid>
      <w:tr w:rsidR="00C4512C" w:rsidTr="00465AFD" w14:paraId="65323511" w14:textId="77777777">
        <w:trPr>
          <w:jc w:val="center"/>
        </w:trPr>
        <w:tc>
          <w:tcPr>
            <w:tcW w:w="1757" w:type="dxa"/>
            <w:shd w:val="clear" w:color="auto" w:fill="002060"/>
          </w:tcPr>
          <w:p w:rsidR="00C4512C" w:rsidP="00465AFD" w:rsidRDefault="00000000" w14:paraId="1B994CAD" w14:textId="77777777">
            <w:pPr>
              <w:spacing w:line="360" w:lineRule="auto"/>
              <w:jc w:val="center"/>
            </w:pPr>
            <w:r>
              <w:rPr>
                <w:b/>
                <w:color w:val="FFFFFF"/>
                <w:sz w:val="20"/>
              </w:rPr>
              <w:t>O × E</w:t>
            </w:r>
          </w:p>
        </w:tc>
        <w:tc>
          <w:tcPr>
            <w:tcW w:w="1757" w:type="dxa"/>
            <w:shd w:val="clear" w:color="auto" w:fill="002060"/>
          </w:tcPr>
          <w:p w:rsidR="00C4512C" w:rsidP="00465AFD" w:rsidRDefault="00000000" w14:paraId="631F58DF" w14:textId="77777777">
            <w:pPr>
              <w:spacing w:line="360" w:lineRule="auto"/>
              <w:jc w:val="center"/>
            </w:pPr>
            <w:r>
              <w:rPr>
                <w:b/>
                <w:color w:val="FFFFFF"/>
                <w:sz w:val="20"/>
              </w:rPr>
              <w:t>Etki 1</w:t>
            </w:r>
          </w:p>
        </w:tc>
        <w:tc>
          <w:tcPr>
            <w:tcW w:w="1757" w:type="dxa"/>
            <w:shd w:val="clear" w:color="auto" w:fill="002060"/>
          </w:tcPr>
          <w:p w:rsidR="00C4512C" w:rsidP="00465AFD" w:rsidRDefault="00000000" w14:paraId="44A13C8D" w14:textId="77777777">
            <w:pPr>
              <w:spacing w:line="360" w:lineRule="auto"/>
              <w:jc w:val="center"/>
            </w:pPr>
            <w:r>
              <w:rPr>
                <w:b/>
                <w:color w:val="FFFFFF"/>
                <w:sz w:val="20"/>
              </w:rPr>
              <w:t>Etki 2</w:t>
            </w:r>
          </w:p>
        </w:tc>
        <w:tc>
          <w:tcPr>
            <w:tcW w:w="1757" w:type="dxa"/>
            <w:shd w:val="clear" w:color="auto" w:fill="002060"/>
          </w:tcPr>
          <w:p w:rsidR="00C4512C" w:rsidP="00465AFD" w:rsidRDefault="00000000" w14:paraId="789CC962" w14:textId="77777777">
            <w:pPr>
              <w:spacing w:line="360" w:lineRule="auto"/>
              <w:jc w:val="center"/>
            </w:pPr>
            <w:r>
              <w:rPr>
                <w:b/>
                <w:color w:val="FFFFFF"/>
                <w:sz w:val="20"/>
              </w:rPr>
              <w:t>Etki 3</w:t>
            </w:r>
          </w:p>
        </w:tc>
        <w:tc>
          <w:tcPr>
            <w:tcW w:w="1757" w:type="dxa"/>
            <w:shd w:val="clear" w:color="auto" w:fill="002060"/>
          </w:tcPr>
          <w:p w:rsidR="00C4512C" w:rsidP="00465AFD" w:rsidRDefault="00000000" w14:paraId="31E69E7A" w14:textId="77777777">
            <w:pPr>
              <w:spacing w:line="360" w:lineRule="auto"/>
              <w:jc w:val="center"/>
            </w:pPr>
            <w:r>
              <w:rPr>
                <w:b/>
                <w:color w:val="FFFFFF"/>
                <w:sz w:val="20"/>
              </w:rPr>
              <w:t>Etki 4</w:t>
            </w:r>
          </w:p>
        </w:tc>
        <w:tc>
          <w:tcPr>
            <w:tcW w:w="1757" w:type="dxa"/>
            <w:shd w:val="clear" w:color="auto" w:fill="002060"/>
          </w:tcPr>
          <w:p w:rsidR="00C4512C" w:rsidP="00465AFD" w:rsidRDefault="00000000" w14:paraId="775A7B1E" w14:textId="77777777">
            <w:pPr>
              <w:spacing w:line="360" w:lineRule="auto"/>
              <w:jc w:val="center"/>
            </w:pPr>
            <w:r>
              <w:rPr>
                <w:b/>
                <w:color w:val="FFFFFF"/>
                <w:sz w:val="20"/>
              </w:rPr>
              <w:t>Etki 5</w:t>
            </w:r>
          </w:p>
        </w:tc>
      </w:tr>
      <w:tr w:rsidR="00C4512C" w:rsidTr="00465AFD" w14:paraId="1EF9CD64" w14:textId="77777777">
        <w:trPr>
          <w:jc w:val="center"/>
        </w:trPr>
        <w:tc>
          <w:tcPr>
            <w:tcW w:w="1757" w:type="dxa"/>
            <w:shd w:val="clear" w:color="auto" w:fill="002060"/>
          </w:tcPr>
          <w:p w:rsidR="00C4512C" w:rsidP="00465AFD" w:rsidRDefault="00000000" w14:paraId="522AC117" w14:textId="77777777">
            <w:pPr>
              <w:spacing w:line="360" w:lineRule="auto"/>
              <w:jc w:val="center"/>
            </w:pPr>
            <w:r>
              <w:rPr>
                <w:b/>
                <w:color w:val="FFFFFF"/>
                <w:sz w:val="20"/>
              </w:rPr>
              <w:t>Olasılık 5</w:t>
            </w:r>
          </w:p>
        </w:tc>
        <w:tc>
          <w:tcPr>
            <w:tcW w:w="1757" w:type="dxa"/>
            <w:shd w:val="clear" w:color="auto" w:fill="C6EFCE"/>
          </w:tcPr>
          <w:p w:rsidR="00C4512C" w:rsidP="00465AFD" w:rsidRDefault="00000000" w14:paraId="4D3E691E" w14:textId="77777777">
            <w:pPr>
              <w:spacing w:line="360" w:lineRule="auto"/>
              <w:jc w:val="center"/>
            </w:pPr>
            <w:r>
              <w:rPr>
                <w:b/>
                <w:sz w:val="20"/>
              </w:rPr>
              <w:t>5</w:t>
            </w:r>
          </w:p>
        </w:tc>
        <w:tc>
          <w:tcPr>
            <w:tcW w:w="1757" w:type="dxa"/>
            <w:shd w:val="clear" w:color="auto" w:fill="FFE699"/>
          </w:tcPr>
          <w:p w:rsidR="00C4512C" w:rsidP="00465AFD" w:rsidRDefault="00000000" w14:paraId="6E5394F6" w14:textId="77777777">
            <w:pPr>
              <w:spacing w:line="360" w:lineRule="auto"/>
              <w:jc w:val="center"/>
            </w:pPr>
            <w:r>
              <w:rPr>
                <w:b/>
                <w:sz w:val="20"/>
              </w:rPr>
              <w:t>10</w:t>
            </w:r>
          </w:p>
        </w:tc>
        <w:tc>
          <w:tcPr>
            <w:tcW w:w="1757" w:type="dxa"/>
            <w:shd w:val="clear" w:color="auto" w:fill="FF8F8F"/>
          </w:tcPr>
          <w:p w:rsidR="00C4512C" w:rsidP="00465AFD" w:rsidRDefault="00000000" w14:paraId="1786A53E" w14:textId="77777777">
            <w:pPr>
              <w:spacing w:line="360" w:lineRule="auto"/>
              <w:jc w:val="center"/>
            </w:pPr>
            <w:r>
              <w:rPr>
                <w:b/>
                <w:sz w:val="20"/>
              </w:rPr>
              <w:t>15</w:t>
            </w:r>
          </w:p>
        </w:tc>
        <w:tc>
          <w:tcPr>
            <w:tcW w:w="1757" w:type="dxa"/>
            <w:shd w:val="clear" w:color="auto" w:fill="FF8F8F"/>
          </w:tcPr>
          <w:p w:rsidR="00C4512C" w:rsidP="00465AFD" w:rsidRDefault="00000000" w14:paraId="237E0960" w14:textId="77777777">
            <w:pPr>
              <w:spacing w:line="360" w:lineRule="auto"/>
              <w:jc w:val="center"/>
            </w:pPr>
            <w:r>
              <w:rPr>
                <w:b/>
                <w:sz w:val="20"/>
              </w:rPr>
              <w:t>20</w:t>
            </w:r>
          </w:p>
        </w:tc>
        <w:tc>
          <w:tcPr>
            <w:tcW w:w="1757" w:type="dxa"/>
            <w:shd w:val="clear" w:color="auto" w:fill="C00000"/>
          </w:tcPr>
          <w:p w:rsidR="00C4512C" w:rsidP="00465AFD" w:rsidRDefault="00000000" w14:paraId="353A7726" w14:textId="77777777">
            <w:pPr>
              <w:spacing w:line="360" w:lineRule="auto"/>
              <w:jc w:val="center"/>
            </w:pPr>
            <w:r>
              <w:rPr>
                <w:b/>
                <w:color w:val="FFFFFF"/>
                <w:sz w:val="20"/>
              </w:rPr>
              <w:t>25</w:t>
            </w:r>
          </w:p>
        </w:tc>
      </w:tr>
      <w:tr w:rsidR="00C4512C" w:rsidTr="00465AFD" w14:paraId="225E0664" w14:textId="77777777">
        <w:trPr>
          <w:jc w:val="center"/>
        </w:trPr>
        <w:tc>
          <w:tcPr>
            <w:tcW w:w="1757" w:type="dxa"/>
            <w:shd w:val="clear" w:color="auto" w:fill="002060"/>
          </w:tcPr>
          <w:p w:rsidR="00C4512C" w:rsidP="00465AFD" w:rsidRDefault="00000000" w14:paraId="70492DF9" w14:textId="77777777">
            <w:pPr>
              <w:spacing w:line="360" w:lineRule="auto"/>
              <w:jc w:val="center"/>
            </w:pPr>
            <w:r>
              <w:rPr>
                <w:b/>
                <w:color w:val="FFFFFF"/>
                <w:sz w:val="20"/>
              </w:rPr>
              <w:t>Olasılık 4</w:t>
            </w:r>
          </w:p>
        </w:tc>
        <w:tc>
          <w:tcPr>
            <w:tcW w:w="1757" w:type="dxa"/>
            <w:shd w:val="clear" w:color="auto" w:fill="C6EFCE"/>
          </w:tcPr>
          <w:p w:rsidR="00C4512C" w:rsidP="00465AFD" w:rsidRDefault="00000000" w14:paraId="42758F96" w14:textId="77777777">
            <w:pPr>
              <w:spacing w:line="360" w:lineRule="auto"/>
              <w:jc w:val="center"/>
            </w:pPr>
            <w:r>
              <w:rPr>
                <w:b/>
                <w:sz w:val="20"/>
              </w:rPr>
              <w:t>4</w:t>
            </w:r>
          </w:p>
        </w:tc>
        <w:tc>
          <w:tcPr>
            <w:tcW w:w="1757" w:type="dxa"/>
            <w:shd w:val="clear" w:color="auto" w:fill="FFE699"/>
          </w:tcPr>
          <w:p w:rsidR="00C4512C" w:rsidP="00465AFD" w:rsidRDefault="00000000" w14:paraId="33123726" w14:textId="77777777">
            <w:pPr>
              <w:spacing w:line="360" w:lineRule="auto"/>
              <w:jc w:val="center"/>
            </w:pPr>
            <w:r>
              <w:rPr>
                <w:b/>
                <w:sz w:val="20"/>
              </w:rPr>
              <w:t>8</w:t>
            </w:r>
          </w:p>
        </w:tc>
        <w:tc>
          <w:tcPr>
            <w:tcW w:w="1757" w:type="dxa"/>
            <w:shd w:val="clear" w:color="auto" w:fill="FFE699"/>
          </w:tcPr>
          <w:p w:rsidR="00C4512C" w:rsidP="00465AFD" w:rsidRDefault="00000000" w14:paraId="5CDA757C" w14:textId="77777777">
            <w:pPr>
              <w:spacing w:line="360" w:lineRule="auto"/>
              <w:jc w:val="center"/>
            </w:pPr>
            <w:r>
              <w:rPr>
                <w:b/>
                <w:sz w:val="20"/>
              </w:rPr>
              <w:t>12</w:t>
            </w:r>
          </w:p>
        </w:tc>
        <w:tc>
          <w:tcPr>
            <w:tcW w:w="1757" w:type="dxa"/>
            <w:shd w:val="clear" w:color="auto" w:fill="FF8F8F"/>
          </w:tcPr>
          <w:p w:rsidR="00C4512C" w:rsidP="00465AFD" w:rsidRDefault="00000000" w14:paraId="43D9F73B" w14:textId="77777777">
            <w:pPr>
              <w:spacing w:line="360" w:lineRule="auto"/>
              <w:jc w:val="center"/>
            </w:pPr>
            <w:r>
              <w:rPr>
                <w:b/>
                <w:sz w:val="20"/>
              </w:rPr>
              <w:t>16</w:t>
            </w:r>
          </w:p>
        </w:tc>
        <w:tc>
          <w:tcPr>
            <w:tcW w:w="1757" w:type="dxa"/>
            <w:shd w:val="clear" w:color="auto" w:fill="FF8F8F"/>
          </w:tcPr>
          <w:p w:rsidR="00C4512C" w:rsidP="00465AFD" w:rsidRDefault="00000000" w14:paraId="1BEE5C77" w14:textId="77777777">
            <w:pPr>
              <w:spacing w:line="360" w:lineRule="auto"/>
              <w:jc w:val="center"/>
            </w:pPr>
            <w:r>
              <w:rPr>
                <w:b/>
                <w:sz w:val="20"/>
              </w:rPr>
              <w:t>20</w:t>
            </w:r>
          </w:p>
        </w:tc>
      </w:tr>
      <w:tr w:rsidR="00C4512C" w:rsidTr="00465AFD" w14:paraId="341C9C1C" w14:textId="77777777">
        <w:trPr>
          <w:jc w:val="center"/>
        </w:trPr>
        <w:tc>
          <w:tcPr>
            <w:tcW w:w="1757" w:type="dxa"/>
            <w:shd w:val="clear" w:color="auto" w:fill="002060"/>
          </w:tcPr>
          <w:p w:rsidR="00C4512C" w:rsidP="00465AFD" w:rsidRDefault="00000000" w14:paraId="0C27F6E9" w14:textId="77777777">
            <w:pPr>
              <w:spacing w:line="360" w:lineRule="auto"/>
              <w:jc w:val="center"/>
            </w:pPr>
            <w:r>
              <w:rPr>
                <w:b/>
                <w:color w:val="FFFFFF"/>
                <w:sz w:val="20"/>
              </w:rPr>
              <w:t>Olasılık 3</w:t>
            </w:r>
          </w:p>
        </w:tc>
        <w:tc>
          <w:tcPr>
            <w:tcW w:w="1757" w:type="dxa"/>
            <w:shd w:val="clear" w:color="auto" w:fill="C6EFCE"/>
          </w:tcPr>
          <w:p w:rsidR="00C4512C" w:rsidP="00465AFD" w:rsidRDefault="00000000" w14:paraId="7437EE2E" w14:textId="77777777">
            <w:pPr>
              <w:spacing w:line="360" w:lineRule="auto"/>
              <w:jc w:val="center"/>
            </w:pPr>
            <w:r>
              <w:rPr>
                <w:b/>
                <w:sz w:val="20"/>
              </w:rPr>
              <w:t>3</w:t>
            </w:r>
          </w:p>
        </w:tc>
        <w:tc>
          <w:tcPr>
            <w:tcW w:w="1757" w:type="dxa"/>
            <w:shd w:val="clear" w:color="auto" w:fill="C6EFCE"/>
          </w:tcPr>
          <w:p w:rsidR="00C4512C" w:rsidP="00465AFD" w:rsidRDefault="00000000" w14:paraId="20B95AFE" w14:textId="77777777">
            <w:pPr>
              <w:spacing w:line="360" w:lineRule="auto"/>
              <w:jc w:val="center"/>
            </w:pPr>
            <w:r>
              <w:rPr>
                <w:b/>
                <w:sz w:val="20"/>
              </w:rPr>
              <w:t>6</w:t>
            </w:r>
          </w:p>
        </w:tc>
        <w:tc>
          <w:tcPr>
            <w:tcW w:w="1757" w:type="dxa"/>
            <w:shd w:val="clear" w:color="auto" w:fill="FFE699"/>
          </w:tcPr>
          <w:p w:rsidR="00C4512C" w:rsidP="00465AFD" w:rsidRDefault="00000000" w14:paraId="01E4748E" w14:textId="77777777">
            <w:pPr>
              <w:spacing w:line="360" w:lineRule="auto"/>
              <w:jc w:val="center"/>
            </w:pPr>
            <w:r>
              <w:rPr>
                <w:b/>
                <w:sz w:val="20"/>
              </w:rPr>
              <w:t>9</w:t>
            </w:r>
          </w:p>
        </w:tc>
        <w:tc>
          <w:tcPr>
            <w:tcW w:w="1757" w:type="dxa"/>
            <w:shd w:val="clear" w:color="auto" w:fill="FFE699"/>
          </w:tcPr>
          <w:p w:rsidR="00C4512C" w:rsidP="00465AFD" w:rsidRDefault="00000000" w14:paraId="34581A7E" w14:textId="77777777">
            <w:pPr>
              <w:spacing w:line="360" w:lineRule="auto"/>
              <w:jc w:val="center"/>
            </w:pPr>
            <w:r>
              <w:rPr>
                <w:b/>
                <w:sz w:val="20"/>
              </w:rPr>
              <w:t>12</w:t>
            </w:r>
          </w:p>
        </w:tc>
        <w:tc>
          <w:tcPr>
            <w:tcW w:w="1757" w:type="dxa"/>
            <w:shd w:val="clear" w:color="auto" w:fill="FF8F8F"/>
          </w:tcPr>
          <w:p w:rsidR="00C4512C" w:rsidP="00465AFD" w:rsidRDefault="00000000" w14:paraId="32FD2260" w14:textId="77777777">
            <w:pPr>
              <w:spacing w:line="360" w:lineRule="auto"/>
              <w:jc w:val="center"/>
            </w:pPr>
            <w:r>
              <w:rPr>
                <w:b/>
                <w:sz w:val="20"/>
              </w:rPr>
              <w:t>15</w:t>
            </w:r>
          </w:p>
        </w:tc>
      </w:tr>
      <w:tr w:rsidR="00C4512C" w:rsidTr="00465AFD" w14:paraId="27FA0FC6" w14:textId="77777777">
        <w:trPr>
          <w:jc w:val="center"/>
        </w:trPr>
        <w:tc>
          <w:tcPr>
            <w:tcW w:w="1757" w:type="dxa"/>
            <w:shd w:val="clear" w:color="auto" w:fill="002060"/>
          </w:tcPr>
          <w:p w:rsidR="00C4512C" w:rsidP="00465AFD" w:rsidRDefault="00000000" w14:paraId="489DB2D7" w14:textId="77777777">
            <w:pPr>
              <w:spacing w:line="360" w:lineRule="auto"/>
              <w:jc w:val="center"/>
            </w:pPr>
            <w:r>
              <w:rPr>
                <w:b/>
                <w:color w:val="FFFFFF"/>
                <w:sz w:val="20"/>
              </w:rPr>
              <w:t>Olasılık 2</w:t>
            </w:r>
          </w:p>
        </w:tc>
        <w:tc>
          <w:tcPr>
            <w:tcW w:w="1757" w:type="dxa"/>
            <w:shd w:val="clear" w:color="auto" w:fill="C6EFCE"/>
          </w:tcPr>
          <w:p w:rsidR="00C4512C" w:rsidP="00465AFD" w:rsidRDefault="00000000" w14:paraId="64E2C5AF" w14:textId="77777777">
            <w:pPr>
              <w:spacing w:line="360" w:lineRule="auto"/>
              <w:jc w:val="center"/>
            </w:pPr>
            <w:r>
              <w:rPr>
                <w:b/>
                <w:sz w:val="20"/>
              </w:rPr>
              <w:t>2</w:t>
            </w:r>
          </w:p>
        </w:tc>
        <w:tc>
          <w:tcPr>
            <w:tcW w:w="1757" w:type="dxa"/>
            <w:shd w:val="clear" w:color="auto" w:fill="C6EFCE"/>
          </w:tcPr>
          <w:p w:rsidR="00C4512C" w:rsidP="00465AFD" w:rsidRDefault="00000000" w14:paraId="6AC6B3C5" w14:textId="77777777">
            <w:pPr>
              <w:spacing w:line="360" w:lineRule="auto"/>
              <w:jc w:val="center"/>
            </w:pPr>
            <w:r>
              <w:rPr>
                <w:b/>
                <w:sz w:val="20"/>
              </w:rPr>
              <w:t>4</w:t>
            </w:r>
          </w:p>
        </w:tc>
        <w:tc>
          <w:tcPr>
            <w:tcW w:w="1757" w:type="dxa"/>
            <w:shd w:val="clear" w:color="auto" w:fill="C6EFCE"/>
          </w:tcPr>
          <w:p w:rsidR="00C4512C" w:rsidP="00465AFD" w:rsidRDefault="00000000" w14:paraId="63EB8DAA" w14:textId="77777777">
            <w:pPr>
              <w:spacing w:line="360" w:lineRule="auto"/>
              <w:jc w:val="center"/>
            </w:pPr>
            <w:r>
              <w:rPr>
                <w:b/>
                <w:sz w:val="20"/>
              </w:rPr>
              <w:t>6</w:t>
            </w:r>
          </w:p>
        </w:tc>
        <w:tc>
          <w:tcPr>
            <w:tcW w:w="1757" w:type="dxa"/>
            <w:shd w:val="clear" w:color="auto" w:fill="FFE699"/>
          </w:tcPr>
          <w:p w:rsidR="00C4512C" w:rsidP="00465AFD" w:rsidRDefault="00000000" w14:paraId="5EA6B1C2" w14:textId="77777777">
            <w:pPr>
              <w:spacing w:line="360" w:lineRule="auto"/>
              <w:jc w:val="center"/>
            </w:pPr>
            <w:r>
              <w:rPr>
                <w:b/>
                <w:sz w:val="20"/>
              </w:rPr>
              <w:t>8</w:t>
            </w:r>
          </w:p>
        </w:tc>
        <w:tc>
          <w:tcPr>
            <w:tcW w:w="1757" w:type="dxa"/>
            <w:shd w:val="clear" w:color="auto" w:fill="FFE699"/>
          </w:tcPr>
          <w:p w:rsidR="00C4512C" w:rsidP="00465AFD" w:rsidRDefault="00000000" w14:paraId="3BFE5B1C" w14:textId="77777777">
            <w:pPr>
              <w:spacing w:line="360" w:lineRule="auto"/>
              <w:jc w:val="center"/>
            </w:pPr>
            <w:r>
              <w:rPr>
                <w:b/>
                <w:sz w:val="20"/>
              </w:rPr>
              <w:t>10</w:t>
            </w:r>
          </w:p>
        </w:tc>
      </w:tr>
      <w:tr w:rsidR="00C4512C" w:rsidTr="00465AFD" w14:paraId="3F616914" w14:textId="77777777">
        <w:trPr>
          <w:jc w:val="center"/>
        </w:trPr>
        <w:tc>
          <w:tcPr>
            <w:tcW w:w="1757" w:type="dxa"/>
            <w:shd w:val="clear" w:color="auto" w:fill="002060"/>
          </w:tcPr>
          <w:p w:rsidR="00C4512C" w:rsidP="00465AFD" w:rsidRDefault="00000000" w14:paraId="3F3BE729" w14:textId="77777777">
            <w:pPr>
              <w:spacing w:line="360" w:lineRule="auto"/>
              <w:jc w:val="center"/>
            </w:pPr>
            <w:r>
              <w:rPr>
                <w:b/>
                <w:color w:val="FFFFFF"/>
                <w:sz w:val="20"/>
              </w:rPr>
              <w:t>Olasılık 1</w:t>
            </w:r>
          </w:p>
        </w:tc>
        <w:tc>
          <w:tcPr>
            <w:tcW w:w="1757" w:type="dxa"/>
            <w:shd w:val="clear" w:color="auto" w:fill="D9D9D9"/>
          </w:tcPr>
          <w:p w:rsidR="00C4512C" w:rsidP="00465AFD" w:rsidRDefault="00000000" w14:paraId="781FEDA0" w14:textId="77777777">
            <w:pPr>
              <w:spacing w:line="360" w:lineRule="auto"/>
              <w:jc w:val="center"/>
            </w:pPr>
            <w:r>
              <w:rPr>
                <w:b/>
                <w:sz w:val="20"/>
              </w:rPr>
              <w:t>1</w:t>
            </w:r>
          </w:p>
        </w:tc>
        <w:tc>
          <w:tcPr>
            <w:tcW w:w="1757" w:type="dxa"/>
            <w:shd w:val="clear" w:color="auto" w:fill="C6EFCE"/>
          </w:tcPr>
          <w:p w:rsidR="00C4512C" w:rsidP="00465AFD" w:rsidRDefault="00000000" w14:paraId="7BEC1C3E" w14:textId="77777777">
            <w:pPr>
              <w:spacing w:line="360" w:lineRule="auto"/>
              <w:jc w:val="center"/>
            </w:pPr>
            <w:r>
              <w:rPr>
                <w:b/>
                <w:sz w:val="20"/>
              </w:rPr>
              <w:t>2</w:t>
            </w:r>
          </w:p>
        </w:tc>
        <w:tc>
          <w:tcPr>
            <w:tcW w:w="1757" w:type="dxa"/>
            <w:shd w:val="clear" w:color="auto" w:fill="C6EFCE"/>
          </w:tcPr>
          <w:p w:rsidR="00C4512C" w:rsidP="00465AFD" w:rsidRDefault="00000000" w14:paraId="2C045FCD" w14:textId="77777777">
            <w:pPr>
              <w:spacing w:line="360" w:lineRule="auto"/>
              <w:jc w:val="center"/>
            </w:pPr>
            <w:r>
              <w:rPr>
                <w:b/>
                <w:sz w:val="20"/>
              </w:rPr>
              <w:t>3</w:t>
            </w:r>
          </w:p>
        </w:tc>
        <w:tc>
          <w:tcPr>
            <w:tcW w:w="1757" w:type="dxa"/>
            <w:shd w:val="clear" w:color="auto" w:fill="C6EFCE"/>
          </w:tcPr>
          <w:p w:rsidR="00C4512C" w:rsidP="00465AFD" w:rsidRDefault="00000000" w14:paraId="3EDBF6E4" w14:textId="77777777">
            <w:pPr>
              <w:spacing w:line="360" w:lineRule="auto"/>
              <w:jc w:val="center"/>
            </w:pPr>
            <w:r>
              <w:rPr>
                <w:b/>
                <w:sz w:val="20"/>
              </w:rPr>
              <w:t>4</w:t>
            </w:r>
          </w:p>
        </w:tc>
        <w:tc>
          <w:tcPr>
            <w:tcW w:w="1757" w:type="dxa"/>
            <w:shd w:val="clear" w:color="auto" w:fill="C6EFCE"/>
          </w:tcPr>
          <w:p w:rsidR="00C4512C" w:rsidP="00465AFD" w:rsidRDefault="00000000" w14:paraId="179B643E" w14:textId="77777777">
            <w:pPr>
              <w:spacing w:line="360" w:lineRule="auto"/>
              <w:jc w:val="center"/>
            </w:pPr>
            <w:r>
              <w:rPr>
                <w:b/>
                <w:sz w:val="20"/>
              </w:rPr>
              <w:t>5</w:t>
            </w:r>
          </w:p>
        </w:tc>
      </w:tr>
    </w:tbl>
    <w:p w:rsidR="00C4512C" w:rsidRDefault="00C4512C" w14:paraId="1708F3D8" w14:textId="77777777">
      <w:pPr>
        <w:jc w:val="both"/>
      </w:pPr>
    </w:p>
    <w:p w:rsidR="00C4512C" w:rsidRDefault="00000000" w14:paraId="4D7F5533" w14:textId="77777777">
      <w:r>
        <w:rPr>
          <w:b/>
        </w:rPr>
        <w:t>5.5. Risk Seviyeleri ve Cevap</w:t>
      </w:r>
    </w:p>
    <w:p w:rsidR="00C4512C" w:rsidRDefault="00000000" w14:paraId="28F4540E" w14:textId="77777777">
      <w:pPr>
        <w:jc w:val="both"/>
      </w:pPr>
      <w:r>
        <w:t>Risk matrisinde hesaplanan puanlara karşılık gelen risk seviyeleri ve uygulanacak yaklaşım Tablo 4’te belirtilmiştir.</w:t>
      </w:r>
    </w:p>
    <w:p w:rsidR="00C4512C" w:rsidRDefault="00000000" w14:paraId="40495E59" w14:textId="77777777">
      <w:r>
        <w:rPr>
          <w:b/>
        </w:rPr>
        <w:t>Tablo 4. Risk Seviyeleri ve Cevap Matrisi</w:t>
      </w:r>
    </w:p>
    <w:tbl>
      <w:tblPr>
        <w:tblStyle w:val="TabloKlavuzu"/>
        <w:tblW w:w="0" w:type="auto"/>
        <w:jc w:val="center"/>
        <w:tblLook w:val="04A0" w:firstRow="1" w:lastRow="0" w:firstColumn="1" w:lastColumn="0" w:noHBand="0" w:noVBand="1"/>
      </w:tblPr>
      <w:tblGrid>
        <w:gridCol w:w="3513"/>
        <w:gridCol w:w="3513"/>
        <w:gridCol w:w="3513"/>
      </w:tblGrid>
      <w:tr w:rsidR="00C4512C" w:rsidTr="00465AFD" w14:paraId="3933D028" w14:textId="77777777">
        <w:trPr>
          <w:jc w:val="center"/>
        </w:trPr>
        <w:tc>
          <w:tcPr>
            <w:tcW w:w="3513" w:type="dxa"/>
            <w:shd w:val="clear" w:color="auto" w:fill="002060"/>
          </w:tcPr>
          <w:p w:rsidR="00C4512C" w:rsidP="00465AFD" w:rsidRDefault="00000000" w14:paraId="59B55E30" w14:textId="77777777">
            <w:pPr>
              <w:spacing w:line="360" w:lineRule="auto"/>
              <w:jc w:val="center"/>
            </w:pPr>
            <w:r>
              <w:rPr>
                <w:b/>
                <w:color w:val="FFFFFF"/>
                <w:sz w:val="20"/>
              </w:rPr>
              <w:t>Risk Seviyesi</w:t>
            </w:r>
          </w:p>
        </w:tc>
        <w:tc>
          <w:tcPr>
            <w:tcW w:w="3513" w:type="dxa"/>
            <w:shd w:val="clear" w:color="auto" w:fill="002060"/>
          </w:tcPr>
          <w:p w:rsidR="00C4512C" w:rsidP="00465AFD" w:rsidRDefault="00000000" w14:paraId="1DEB39D2" w14:textId="77777777">
            <w:pPr>
              <w:spacing w:line="360" w:lineRule="auto"/>
              <w:jc w:val="center"/>
            </w:pPr>
            <w:r>
              <w:rPr>
                <w:b/>
                <w:color w:val="FFFFFF"/>
                <w:sz w:val="20"/>
              </w:rPr>
              <w:t>Puan</w:t>
            </w:r>
          </w:p>
        </w:tc>
        <w:tc>
          <w:tcPr>
            <w:tcW w:w="3513" w:type="dxa"/>
            <w:shd w:val="clear" w:color="auto" w:fill="002060"/>
          </w:tcPr>
          <w:p w:rsidR="00C4512C" w:rsidP="00465AFD" w:rsidRDefault="00000000" w14:paraId="6415F3B8" w14:textId="77777777">
            <w:pPr>
              <w:spacing w:line="360" w:lineRule="auto"/>
              <w:jc w:val="center"/>
            </w:pPr>
            <w:r>
              <w:rPr>
                <w:b/>
                <w:color w:val="FFFFFF"/>
                <w:sz w:val="20"/>
              </w:rPr>
              <w:t>Açıklama</w:t>
            </w:r>
          </w:p>
        </w:tc>
      </w:tr>
      <w:tr w:rsidR="00C4512C" w:rsidTr="00465AFD" w14:paraId="2CF519CA" w14:textId="77777777">
        <w:trPr>
          <w:jc w:val="center"/>
        </w:trPr>
        <w:tc>
          <w:tcPr>
            <w:tcW w:w="3513" w:type="dxa"/>
            <w:shd w:val="clear" w:color="auto" w:fill="C00000"/>
            <w:vAlign w:val="center"/>
          </w:tcPr>
          <w:p w:rsidR="00C4512C" w:rsidP="00465AFD" w:rsidRDefault="00000000" w14:paraId="13C5611B" w14:textId="77777777">
            <w:pPr>
              <w:spacing w:line="360" w:lineRule="auto"/>
            </w:pPr>
            <w:r>
              <w:rPr>
                <w:b/>
                <w:color w:val="FFFFFF"/>
                <w:sz w:val="20"/>
              </w:rPr>
              <w:t>Katlanılamaz Risk</w:t>
            </w:r>
          </w:p>
        </w:tc>
        <w:tc>
          <w:tcPr>
            <w:tcW w:w="3513" w:type="dxa"/>
            <w:shd w:val="clear" w:color="auto" w:fill="C00000"/>
            <w:vAlign w:val="center"/>
          </w:tcPr>
          <w:p w:rsidR="00C4512C" w:rsidP="00465AFD" w:rsidRDefault="00000000" w14:paraId="162B02BB" w14:textId="77777777">
            <w:pPr>
              <w:spacing w:line="360" w:lineRule="auto"/>
              <w:jc w:val="center"/>
            </w:pPr>
            <w:r>
              <w:rPr>
                <w:b/>
                <w:color w:val="FFFFFF"/>
                <w:sz w:val="20"/>
              </w:rPr>
              <w:t>25</w:t>
            </w:r>
          </w:p>
        </w:tc>
        <w:tc>
          <w:tcPr>
            <w:tcW w:w="3513" w:type="dxa"/>
          </w:tcPr>
          <w:p w:rsidR="00C4512C" w:rsidP="00465AFD" w:rsidRDefault="00000000" w14:paraId="0B148313" w14:textId="77777777">
            <w:pPr>
              <w:spacing w:line="360" w:lineRule="auto"/>
            </w:pPr>
            <w:r>
              <w:rPr>
                <w:sz w:val="20"/>
              </w:rPr>
              <w:t>Risk kabul edilebilir seviyeye düşürülünceye kadar işe başlanmaz veya faaliyet durdurulur; önlemlere rağmen düşürülemiyorsa faaliyet engellenir.</w:t>
            </w:r>
          </w:p>
        </w:tc>
      </w:tr>
      <w:tr w:rsidR="00C4512C" w:rsidTr="00465AFD" w14:paraId="59E688A8" w14:textId="77777777">
        <w:trPr>
          <w:jc w:val="center"/>
        </w:trPr>
        <w:tc>
          <w:tcPr>
            <w:tcW w:w="3513" w:type="dxa"/>
            <w:shd w:val="clear" w:color="auto" w:fill="FF8F8F"/>
            <w:vAlign w:val="center"/>
          </w:tcPr>
          <w:p w:rsidR="00C4512C" w:rsidP="00465AFD" w:rsidRDefault="00000000" w14:paraId="51EB2277" w14:textId="77777777">
            <w:pPr>
              <w:spacing w:line="360" w:lineRule="auto"/>
            </w:pPr>
            <w:r>
              <w:rPr>
                <w:b/>
                <w:sz w:val="20"/>
              </w:rPr>
              <w:t>Önemli Risk</w:t>
            </w:r>
          </w:p>
        </w:tc>
        <w:tc>
          <w:tcPr>
            <w:tcW w:w="3513" w:type="dxa"/>
            <w:shd w:val="clear" w:color="auto" w:fill="FF8F8F"/>
            <w:vAlign w:val="center"/>
          </w:tcPr>
          <w:p w:rsidR="00C4512C" w:rsidP="00465AFD" w:rsidRDefault="00000000" w14:paraId="4495FF07" w14:textId="77777777">
            <w:pPr>
              <w:spacing w:line="360" w:lineRule="auto"/>
              <w:jc w:val="center"/>
            </w:pPr>
            <w:r>
              <w:rPr>
                <w:b/>
                <w:sz w:val="20"/>
              </w:rPr>
              <w:t>15, 16, 20</w:t>
            </w:r>
          </w:p>
        </w:tc>
        <w:tc>
          <w:tcPr>
            <w:tcW w:w="3513" w:type="dxa"/>
          </w:tcPr>
          <w:p w:rsidR="00C4512C" w:rsidP="00465AFD" w:rsidRDefault="00000000" w14:paraId="49659A8A" w14:textId="77777777">
            <w:pPr>
              <w:spacing w:line="360" w:lineRule="auto"/>
            </w:pPr>
            <w:r>
              <w:rPr>
                <w:sz w:val="20"/>
              </w:rPr>
              <w:t>Risk kabul edilebilir seviyeye düşürülünceye kadar faaliyet durdurulur; acil önlem alınır ve sonucuna göre devam kararı verilir.</w:t>
            </w:r>
          </w:p>
        </w:tc>
      </w:tr>
      <w:tr w:rsidR="00C4512C" w:rsidTr="00465AFD" w14:paraId="6758D62D" w14:textId="77777777">
        <w:trPr>
          <w:jc w:val="center"/>
        </w:trPr>
        <w:tc>
          <w:tcPr>
            <w:tcW w:w="3513" w:type="dxa"/>
            <w:shd w:val="clear" w:color="auto" w:fill="FFE699"/>
            <w:vAlign w:val="center"/>
          </w:tcPr>
          <w:p w:rsidR="00C4512C" w:rsidP="00465AFD" w:rsidRDefault="00000000" w14:paraId="7C157DC7" w14:textId="77777777">
            <w:pPr>
              <w:spacing w:line="360" w:lineRule="auto"/>
            </w:pPr>
            <w:r>
              <w:rPr>
                <w:b/>
                <w:sz w:val="20"/>
              </w:rPr>
              <w:t>Orta Risk</w:t>
            </w:r>
          </w:p>
        </w:tc>
        <w:tc>
          <w:tcPr>
            <w:tcW w:w="3513" w:type="dxa"/>
            <w:shd w:val="clear" w:color="auto" w:fill="FFE699"/>
            <w:vAlign w:val="center"/>
          </w:tcPr>
          <w:p w:rsidR="00C4512C" w:rsidP="00465AFD" w:rsidRDefault="00000000" w14:paraId="5F8738F2" w14:textId="77777777">
            <w:pPr>
              <w:spacing w:line="360" w:lineRule="auto"/>
              <w:jc w:val="center"/>
            </w:pPr>
            <w:r>
              <w:rPr>
                <w:b/>
                <w:sz w:val="20"/>
              </w:rPr>
              <w:t>8, 9, 10, 12</w:t>
            </w:r>
          </w:p>
        </w:tc>
        <w:tc>
          <w:tcPr>
            <w:tcW w:w="3513" w:type="dxa"/>
          </w:tcPr>
          <w:p w:rsidR="00C4512C" w:rsidP="00465AFD" w:rsidRDefault="00000000" w14:paraId="61A08D47" w14:textId="77777777">
            <w:pPr>
              <w:spacing w:line="360" w:lineRule="auto"/>
            </w:pPr>
            <w:r>
              <w:rPr>
                <w:sz w:val="20"/>
              </w:rPr>
              <w:t>Riskleri düşürmek için kontrol faaliyetlerine başlanır; cevap zaman alabilir.</w:t>
            </w:r>
          </w:p>
        </w:tc>
      </w:tr>
      <w:tr w:rsidR="00C4512C" w:rsidTr="00465AFD" w14:paraId="6CFEC54D" w14:textId="77777777">
        <w:trPr>
          <w:jc w:val="center"/>
        </w:trPr>
        <w:tc>
          <w:tcPr>
            <w:tcW w:w="3513" w:type="dxa"/>
            <w:shd w:val="clear" w:color="auto" w:fill="C6EFCE"/>
            <w:vAlign w:val="center"/>
          </w:tcPr>
          <w:p w:rsidR="00C4512C" w:rsidP="00465AFD" w:rsidRDefault="00000000" w14:paraId="561D6014" w14:textId="77777777">
            <w:pPr>
              <w:spacing w:line="360" w:lineRule="auto"/>
            </w:pPr>
            <w:r>
              <w:rPr>
                <w:b/>
                <w:sz w:val="20"/>
              </w:rPr>
              <w:t>Katlanılabilir Risk</w:t>
            </w:r>
          </w:p>
        </w:tc>
        <w:tc>
          <w:tcPr>
            <w:tcW w:w="3513" w:type="dxa"/>
            <w:shd w:val="clear" w:color="auto" w:fill="C6EFCE"/>
            <w:vAlign w:val="center"/>
          </w:tcPr>
          <w:p w:rsidR="00C4512C" w:rsidP="00465AFD" w:rsidRDefault="00000000" w14:paraId="3FFBB00A" w14:textId="77777777">
            <w:pPr>
              <w:spacing w:line="360" w:lineRule="auto"/>
              <w:jc w:val="center"/>
            </w:pPr>
            <w:r>
              <w:rPr>
                <w:b/>
                <w:sz w:val="20"/>
              </w:rPr>
              <w:t>2, 3, 4, 5, 6</w:t>
            </w:r>
          </w:p>
        </w:tc>
        <w:tc>
          <w:tcPr>
            <w:tcW w:w="3513" w:type="dxa"/>
          </w:tcPr>
          <w:p w:rsidR="00C4512C" w:rsidP="00465AFD" w:rsidRDefault="00000000" w14:paraId="359D4221" w14:textId="77777777">
            <w:pPr>
              <w:spacing w:line="360" w:lineRule="auto"/>
            </w:pPr>
            <w:r>
              <w:rPr>
                <w:sz w:val="20"/>
              </w:rPr>
              <w:t>Ek kontrole ihtiyaç olmayabilir; mevcut kontroller sürdürülür ve denetlenir.</w:t>
            </w:r>
          </w:p>
        </w:tc>
      </w:tr>
      <w:tr w:rsidR="00C4512C" w:rsidTr="00465AFD" w14:paraId="624CA315" w14:textId="77777777">
        <w:trPr>
          <w:jc w:val="center"/>
        </w:trPr>
        <w:tc>
          <w:tcPr>
            <w:tcW w:w="3513" w:type="dxa"/>
            <w:shd w:val="clear" w:color="auto" w:fill="D9D9D9"/>
            <w:vAlign w:val="center"/>
          </w:tcPr>
          <w:p w:rsidR="00C4512C" w:rsidP="00465AFD" w:rsidRDefault="00000000" w14:paraId="04E40899" w14:textId="77777777">
            <w:pPr>
              <w:spacing w:line="360" w:lineRule="auto"/>
            </w:pPr>
            <w:r>
              <w:rPr>
                <w:b/>
                <w:sz w:val="20"/>
              </w:rPr>
              <w:t>Önemsiz Risk</w:t>
            </w:r>
          </w:p>
        </w:tc>
        <w:tc>
          <w:tcPr>
            <w:tcW w:w="3513" w:type="dxa"/>
            <w:shd w:val="clear" w:color="auto" w:fill="D9D9D9"/>
            <w:vAlign w:val="center"/>
          </w:tcPr>
          <w:p w:rsidR="00C4512C" w:rsidP="00465AFD" w:rsidRDefault="00000000" w14:paraId="3B2A7F2B" w14:textId="77777777">
            <w:pPr>
              <w:spacing w:line="360" w:lineRule="auto"/>
              <w:jc w:val="center"/>
            </w:pPr>
            <w:r>
              <w:rPr>
                <w:b/>
                <w:sz w:val="20"/>
              </w:rPr>
              <w:t>1</w:t>
            </w:r>
          </w:p>
        </w:tc>
        <w:tc>
          <w:tcPr>
            <w:tcW w:w="3513" w:type="dxa"/>
          </w:tcPr>
          <w:p w:rsidR="00C4512C" w:rsidP="00465AFD" w:rsidRDefault="00000000" w14:paraId="685D6731" w14:textId="77777777">
            <w:pPr>
              <w:spacing w:line="360" w:lineRule="auto"/>
            </w:pPr>
            <w:r>
              <w:rPr>
                <w:sz w:val="20"/>
              </w:rPr>
              <w:t>Ek kontrol faaliyeti planlamaya gerek olmayabilir.</w:t>
            </w:r>
          </w:p>
        </w:tc>
      </w:tr>
    </w:tbl>
    <w:p w:rsidR="00C4512C" w:rsidRDefault="00C4512C" w14:paraId="31194621" w14:textId="77777777">
      <w:pPr>
        <w:jc w:val="both"/>
      </w:pPr>
    </w:p>
    <w:p w:rsidR="00C4512C" w:rsidRDefault="00000000" w14:paraId="31A4303D" w14:textId="77777777">
      <w:r>
        <w:rPr>
          <w:b/>
        </w:rPr>
        <w:t>5.6. Risklere Cevap Verme</w:t>
      </w:r>
    </w:p>
    <w:p w:rsidR="00C4512C" w:rsidRDefault="00000000" w14:paraId="02DB5C3F" w14:textId="77777777">
      <w:pPr>
        <w:jc w:val="both"/>
      </w:pPr>
      <w:r>
        <w:t>Önceliklendirilen her risk için mevcut kontroller ve aksiyonlar belirlenir. Risklere cevap verilmesinde; bilinçli bir kararla riski almak (kabullenme), kontrol etmek, devretmek veya riskten kaçınmak yöntemlerinden uygun olanı seçilir. Cevap ve aksiyonlar ile sorumlular ve termin tarihleri GÜYBİS üzerinde tanımlanır.</w:t>
      </w:r>
    </w:p>
    <w:p w:rsidR="00C4512C" w:rsidRDefault="00000000" w14:paraId="346E8653" w14:textId="77777777">
      <w:r>
        <w:rPr>
          <w:b/>
        </w:rPr>
        <w:t>5.7. Risklerin İzlenmesi ve Raporlanması</w:t>
      </w:r>
    </w:p>
    <w:p w:rsidR="00C4512C" w:rsidRDefault="00000000" w14:paraId="0F23E2CB" w14:textId="77777777">
      <w:pPr>
        <w:jc w:val="both"/>
      </w:pPr>
      <w:r>
        <w:t xml:space="preserve">Koşulların değişmesi veya alınan önlemler sonucunda riskler etki-olasılık yönünden değişebilir; yeni risk alanları ortaya çıkabilir. Bu nedenle birimler, her yıl Ocak ayında bir önceki yıla ait risklerini GÜYBİS üzerinden yeniden değerlendirir. Birimler tarafından tespit edilen riskler GÜYBİS’e kaydedilir; İdare Risk Koordinatörü tarafından </w:t>
      </w:r>
      <w:r>
        <w:lastRenderedPageBreak/>
        <w:t>konsolide edilerek İç Kontrol İzleme ve Yönlendirme Kuruluna ve Rektöre sunulur. Risk yönetimi sürecinin tasarımı, izlenmesi ve iyileştirilmesi PUKÖ döngüsü çerçevesinde yürütülür ve Yönetimin Gözden Geçirmesi toplantılarına girdi oluşturur.</w:t>
      </w:r>
    </w:p>
    <w:p w:rsidR="00C4512C" w:rsidRDefault="00000000" w14:paraId="6EC0388C" w14:textId="77777777">
      <w:r>
        <w:rPr>
          <w:b/>
        </w:rPr>
        <w:t>6. REFERANS DOKÜMANLAR</w:t>
      </w:r>
    </w:p>
    <w:p w:rsidR="00C4512C" w:rsidRDefault="00000000" w14:paraId="5F46328B" w14:textId="77777777">
      <w:pPr>
        <w:jc w:val="both"/>
      </w:pPr>
      <w:r>
        <w:t>• TS EN ISO 9001:2015 Kalite Yönetim Sistemi</w:t>
      </w:r>
    </w:p>
    <w:p w:rsidR="00C4512C" w:rsidRDefault="00000000" w14:paraId="230DD6B0" w14:textId="77777777">
      <w:pPr>
        <w:jc w:val="both"/>
      </w:pPr>
      <w:r>
        <w:t>• TS EN ISO 50001:2018 Enerji Yönetim Sistemi</w:t>
      </w:r>
    </w:p>
    <w:p w:rsidR="00C4512C" w:rsidRDefault="00000000" w14:paraId="64F1EFC2" w14:textId="77777777">
      <w:pPr>
        <w:jc w:val="both"/>
      </w:pPr>
      <w:r>
        <w:t>• TS ISO 46001 Su Verimliliği Yönetim Sistemi</w:t>
      </w:r>
    </w:p>
    <w:p w:rsidR="00C4512C" w:rsidRDefault="00000000" w14:paraId="3087CCCE" w14:textId="77777777">
      <w:pPr>
        <w:jc w:val="both"/>
      </w:pPr>
      <w:r>
        <w:t>• ISO 31000 Risk Yönetimi – Prensipler ve Kılavuzlar</w:t>
      </w:r>
    </w:p>
    <w:p w:rsidR="00C4512C" w:rsidRDefault="00000000" w14:paraId="64C8C0D1" w14:textId="77777777">
      <w:pPr>
        <w:jc w:val="both"/>
      </w:pPr>
      <w:r>
        <w:t>• Giresun Üniversitesi Kurumsal Risk Yönetimi Yönergesi</w:t>
      </w:r>
    </w:p>
    <w:p w:rsidR="00C4512C" w:rsidRDefault="00000000" w14:paraId="049A04CB" w14:textId="77777777">
      <w:pPr>
        <w:jc w:val="both"/>
      </w:pPr>
      <w:r>
        <w:t>• Giresun Üniversitesi Kurumsal Risk Yönetimi Strateji Belgesi</w:t>
      </w:r>
    </w:p>
    <w:p w:rsidR="00C4512C" w:rsidRDefault="00000000" w14:paraId="30D8853F" w14:textId="1A82107D">
      <w:pPr>
        <w:jc w:val="both"/>
      </w:pPr>
      <w:r>
        <w:t>• KYS-FR.013 Risk Analizi ve Değerlendirme Formu (Risk Değerlendirme ve İzleme Tablosu)</w:t>
      </w:r>
    </w:p>
    <w:sectPr w:rsidR="00C4512C" w:rsidSect="00034616">
      <w:headerReference w:type="default" r:id="R0685b6a0089040dc"/>
      <w:pgSz w:w="12240" w:h="15840"/>
      <w:pgMar w:top="1134" w:right="850" w:bottom="1134" w:left="850" w:header="720" w:footer="720" w:gutter="0"/>
      <w:cols w:space="720"/>
      <w:docGrid w:linePitch="360"/>
      <w:footerReference w:type="default" r:id="R011b5c33a64a437b"/>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4.xml><?xml version="1.0" encoding="utf-8"?>
<w:ftr xmlns:w="http://schemas.openxmlformats.org/wordprocessingml/2006/main">
  <w:tbl>
    <w:tblPr>
      <w:tblW w:w="5000" w:type="pct"/>
      <w:tblBorders>
        <w:top w:val="single" w:color="auto" w:sz="4" w:space="0"/>
        <w:bottom w:val="single" w:color="auto" w:sz="4" w:space="0"/>
        <w:left w:val="single" w:color="auto" w:sz="4" w:space="0"/>
        <w:right w:val="single" w:color="auto" w:sz="4" w:space="0"/>
        <w:insideH w:val="single" w:color="auto" w:sz="4" w:space="0"/>
        <w:insideV w:val="single" w:color="auto" w:sz="4" w:space="0"/>
      </w:tblBorders>
    </w:tblPr>
    <w:tblGrid>
      <w:gridCol w:w="4500"/>
      <w:gridCol w:w="4500"/>
    </w:tblGrid>
    <w:tr>
      <w:tc>
        <w:tcPr>
          <w:tcW w:w="4500" w:type="dxa"/>
        </w:tcPr>
        <w:p>
          <w:pPr>
            <w:jc w:val="center"/>
            <w:spacing w:before="0" w:after="0" w:line="240" w:lineRule="auto"/>
          </w:pPr>
          <w:r>
            <w:rPr>
              <w:rFonts w:ascii="Times New Roman" w:hAnsi="Times New Roman" w:eastAsia="Century Gothic"/>
              <w:b/>
              <w:sz w:val="22"/>
              <w:szCs w:val="22"/>
            </w:rPr>
            <w:t xml:space="preserve">Hazırlayan</w:t>
          </w:r>
        </w:p>
      </w:tc>
      <w:tc>
        <w:tcPr>
          <w:tcW w:w="4500" w:type="dxa"/>
        </w:tcPr>
        <w:p>
          <w:pPr>
            <w:jc w:val="center"/>
            <w:spacing w:before="0" w:after="0" w:line="240" w:lineRule="auto"/>
          </w:pPr>
          <w:r>
            <w:rPr>
              <w:rFonts w:ascii="Times New Roman" w:hAnsi="Times New Roman" w:eastAsia="Century Gothic"/>
              <w:b/>
              <w:sz w:val="22"/>
              <w:szCs w:val="22"/>
            </w:rPr>
            <w:t xml:space="preserve">Onaylayan</w:t>
          </w:r>
        </w:p>
      </w:tc>
    </w:tr>
    <w:tr>
      <w:tc>
        <w:tcPr>
          <w:tcW w:w="4500" w:type="dxa"/>
        </w:tcPr>
        <w:p>
          <w:pPr>
            <w:jc w:val="center"/>
            <w:spacing w:before="0" w:after="0" w:line="240" w:lineRule="auto"/>
          </w:pPr>
          <w:r>
            <w:rPr>
              <w:rFonts w:ascii="Times New Roman" w:hAnsi="Times New Roman" w:eastAsia="Century Gothic"/>
              <w:sz w:val="22"/>
              <w:szCs w:val="22"/>
            </w:rPr>
            <w:t xml:space="preserve">Kalite Koordinatörlüğü</w:t>
          </w:r>
        </w:p>
      </w:tc>
      <w:tc>
        <w:tcPr>
          <w:tcW w:w="4500" w:type="dxa"/>
        </w:tcPr>
        <w:p>
          <w:pPr>
            <w:jc w:val="center"/>
            <w:spacing w:before="0" w:after="0" w:line="240" w:lineRule="auto"/>
          </w:pPr>
          <w:r>
            <w:rPr>
              <w:rFonts w:ascii="Times New Roman" w:hAnsi="Times New Roman" w:eastAsia="Century Gothic"/>
              <w:sz w:val="22"/>
              <w:szCs w:val="22"/>
            </w:rPr>
            <w:t xml:space="preserve">Kalite Koordinatörlüğü</w:t>
          </w:r>
        </w:p>
      </w:tc>
    </w:tr>
  </w:tbl>
  <w:p>
    <w:pPr>
      <w:jc w:val="center"/>
      <w:spacing w:before="0" w:after="60" w:line="240" w:lineRule="auto"/>
    </w:pPr>
    <w:r>
      <w:rPr>
        <w:rFonts w:ascii="Times New Roman" w:hAnsi="Times New Roman" w:eastAsia="Century Gothic"/>
        <w:sz w:val="18"/>
        <w:szCs w:val="18"/>
        <w:i/>
        <w:color w:val="FF0000"/>
      </w:rPr>
      <w:t xml:space="preserve">Bu dokümanın basılı hali kontrolsüz doküman kabul edilmektedir. Lütfen web sitesinden en son versiyonuna ulaşınız.</w:t>
    </w:r>
  </w:p>
  <w:tbl>
    <w:tblPr>
      <w:tblW w:w="5000" w:type="pct"/>
      <w:tblBorders>
        <w:top w:val="none"/>
        <w:bottom w:val="none"/>
        <w:left w:val="none"/>
        <w:right w:val="none"/>
        <w:insideH w:val="none"/>
        <w:insideV w:val="none"/>
      </w:tblBorders>
    </w:tblPr>
    <w:tblGrid>
      <w:gridCol w:w="8000"/>
      <w:gridCol w:w="2000"/>
    </w:tblGrid>
    <w:tr>
      <w:tc>
        <w:tcPr>
          <w:tcW w:w="8000" w:type="dxa"/>
          <w:vAlign w:val="top"/>
        </w:tcPr>
        <w:p>
          <w:pPr>
            <w:spacing w:before="0" w:after="0" w:line="240" w:lineRule="auto"/>
          </w:pPr>
          <w:r>
            <w:rPr>
              <w:rFonts w:ascii="Times New Roman" w:hAnsi="Times New Roman" w:eastAsia="Century Gothic"/>
              <w:sz w:val="16"/>
              <w:szCs w:val="16"/>
            </w:rPr>
            <w:t>KYS-PRO.008, R00, 17.07.2026</w:t>
          </w:r>
        </w:p>
        <w:p>
          <w:pPr>
            <w:spacing w:before="0" w:after="0" w:line="240" w:lineRule="auto"/>
          </w:pPr>
          <w:hyperlink xmlns:r="http://schemas.openxmlformats.org/officeDocument/2006/relationships" w:history="true" r:id="R5b88cd77b8d74c36">
            <w:r>
              <w:rPr>
                <w:rFonts w:ascii="Times New Roman" w:hAnsi="Times New Roman" w:eastAsia="Century Gothic"/>
                <w:sz w:val="16"/>
                <w:szCs w:val="16"/>
                <w:color w:val="0563C1"/>
                <w:u w:val="single"/>
              </w:rPr>
              <w:t>kvys.giresun.edu.tr/dg/284</w:t>
            </w:r>
          </w:hyperlink>
        </w:p>
      </w:tc>
      <w:tc>
        <w:tcPr>
          <w:tcW w:w="2000" w:type="dxa"/>
          <w:vAlign w:val="top"/>
        </w:tcPr>
        <w:p>
          <w:pPr>
            <w:jc w:val="right"/>
            <w:spacing w:before="0" w:after="0" w:line="240" w:lineRule="auto"/>
          </w:pPr>
          <w:r>
            <w:rPr>
              <w:rFonts w:ascii="Arial" w:hAnsi="Arial" w:cs="Arial"/>
              <w:noProof/>
            </w:rPr>
            <w:drawing>
              <wp:inline xmlns:wp="http://schemas.openxmlformats.org/drawingml/2006/wordprocessingDrawing" distT="0" distB="0" distL="0" distR="0">
                <wp:extent cx="540000" cy="540000"/>
                <wp:effectExtent l="0" t="0" r="0" b="0"/>
                <wp:docPr id="2" name="Q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
                        <pic:cNvPicPr>
                          <a:picLocks noChangeAspect="1" noChangeArrowheads="1"/>
                        </pic:cNvPicPr>
                      </pic:nvPicPr>
                      <pic:blipFill>
                        <a:blip xmlns:r="http://schemas.openxmlformats.org/officeDocument/2006/relationships" r:embed="R683c861600774e75" cstate="print"/>
                        <a:srcRect/>
                        <a:stretch>
                          <a:fillRect/>
                        </a:stretch>
                      </pic:blipFill>
                      <pic:spPr bwMode="auto">
                        <a:xfrm>
                          <a:off x="0" y="0"/>
                          <a:ext cx="540000" cy="540000"/>
                        </a:xfrm>
                        <a:prstGeom prst="rect">
                          <a:avLst/>
                        </a:prstGeom>
                        <a:noFill/>
                        <a:ln>
                          <a:noFill/>
                        </a:ln>
                      </pic:spPr>
                    </pic:pic>
                  </a:graphicData>
                </a:graphic>
              </wp:inline>
            </w:drawing>
          </w:r>
        </w:p>
        <w:p>
          <w:pPr>
            <w:jc w:val="right"/>
            <w:spacing w:before="0" w:after="0" w:line="240" w:lineRule="auto"/>
          </w:pPr>
          <w:r>
            <w:rPr>
              <w:rFonts w:ascii="Times New Roman" w:hAnsi="Times New Roman" w:eastAsia="Century Gothic"/>
              <w:sz w:val="16"/>
              <w:szCs w:val="16"/>
            </w:rPr>
            <w:t xml:space="preserve">Sayfa </w:t>
          </w:r>
          <w:r>
            <w:rPr>
              <w:rFonts w:ascii="Times New Roman" w:hAnsi="Times New Roman" w:eastAsia="Century Gothic"/>
              <w:sz w:val="16"/>
              <w:szCs w:val="16"/>
            </w:rPr>
            <w:fldChar w:fldCharType="begin"/>
          </w:r>
          <w:r>
            <w:rPr>
              <w:rFonts w:ascii="Times New Roman" w:hAnsi="Times New Roman" w:eastAsia="Century Gothic"/>
              <w:sz w:val="16"/>
              <w:szCs w:val="16"/>
            </w:rPr>
            <w:instrText>PAGE   \* MERGEFORMAT</w:instrText>
          </w:r>
          <w:r>
            <w:rPr>
              <w:rFonts w:ascii="Times New Roman" w:hAnsi="Times New Roman" w:eastAsia="Century Gothic"/>
              <w:sz w:val="16"/>
              <w:szCs w:val="16"/>
            </w:rPr>
            <w:fldChar w:fldCharType="separate"/>
          </w:r>
          <w:r>
            <w:rPr>
              <w:rFonts w:ascii="Times New Roman" w:hAnsi="Times New Roman" w:eastAsia="Century Gothic"/>
              <w:sz w:val="16"/>
              <w:szCs w:val="16"/>
              <w:noProof/>
            </w:rPr>
            <w:t>1</w:t>
          </w:r>
          <w:r>
            <w:rPr>
              <w:rFonts w:ascii="Times New Roman" w:hAnsi="Times New Roman" w:eastAsia="Century Gothic"/>
              <w:sz w:val="16"/>
              <w:szCs w:val="16"/>
            </w:rPr>
            <w:fldChar w:fldCharType="end"/>
          </w:r>
          <w:r>
            <w:rPr>
              <w:rFonts w:ascii="Times New Roman" w:hAnsi="Times New Roman" w:eastAsia="Century Gothic"/>
              <w:sz w:val="16"/>
              <w:szCs w:val="16"/>
            </w:rPr>
            <w:t> / </w:t>
          </w:r>
          <w:r>
            <w:rPr>
              <w:rFonts w:ascii="Times New Roman" w:hAnsi="Times New Roman" w:eastAsia="Century Gothic"/>
              <w:sz w:val="16"/>
              <w:szCs w:val="16"/>
            </w:rPr>
            <w:fldChar w:fldCharType="begin"/>
          </w:r>
          <w:r>
            <w:rPr>
              <w:rFonts w:ascii="Times New Roman" w:hAnsi="Times New Roman" w:eastAsia="Century Gothic"/>
              <w:sz w:val="16"/>
              <w:szCs w:val="16"/>
            </w:rPr>
            <w:instrText>NUMPAGES   \* MERGEFORMAT</w:instrText>
          </w:r>
          <w:r>
            <w:rPr>
              <w:rFonts w:ascii="Times New Roman" w:hAnsi="Times New Roman" w:eastAsia="Century Gothic"/>
              <w:sz w:val="16"/>
              <w:szCs w:val="16"/>
            </w:rPr>
            <w:fldChar w:fldCharType="separate"/>
          </w:r>
          <w:r>
            <w:rPr>
              <w:rFonts w:ascii="Times New Roman" w:hAnsi="Times New Roman" w:eastAsia="Century Gothic"/>
              <w:sz w:val="16"/>
              <w:szCs w:val="16"/>
              <w:noProof/>
            </w:rPr>
            <w:t>1</w:t>
          </w:r>
          <w:r>
            <w:rPr>
              <w:rFonts w:ascii="Times New Roman" w:hAnsi="Times New Roman" w:eastAsia="Century Gothic"/>
              <w:sz w:val="16"/>
              <w:szCs w:val="16"/>
            </w:rPr>
            <w:fldChar w:fldCharType="end"/>
          </w:r>
        </w:p>
      </w:tc>
    </w:tr>
  </w:tbl>
  <w:p>
    <w:pPr>
      <w:spacing w:before="0" w:after="0" w:line="240" w:lineRule="auto"/>
    </w:pPr>
  </w:p>
</w:ftr>
</file>

<file path=word/header4.xml><?xml version="1.0" encoding="utf-8"?>
<w:hdr xmlns:w="http://schemas.openxmlformats.org/wordprocessingml/2006/main">
  <w:tbl>
    <w:tblPr>
      <w:tblStyle w:val="TabloKlavuzu"/>
      <w:jc w:val="center"/>
      <w:tblW w:w="5000" w:type="pct"/>
      <w:tblBorders>
        <w:top w:val="single" w:sz="4"/>
        <w:bottom w:val="single" w:sz="4"/>
        <w:left w:val="single" w:sz="4"/>
        <w:right w:val="single" w:sz="4"/>
        <w:insideH w:val="single" w:sz="4"/>
        <w:insideV w:val="single" w:sz="4"/>
      </w:tblBorders>
      <w:tblLook w:val="04A0" w:firstRow="true" w:lastRow="false" w:firstColumn="true" w:lastColumn="false" w:noHBand="false" w:noVBand="true"/>
    </w:tblPr>
    <w:tblGrid>
      <w:gridCol w:w="1566"/>
      <w:gridCol w:w="5411"/>
      <w:gridCol w:w="1541"/>
      <w:gridCol w:w="1491"/>
    </w:tblGrid>
    <w:tr>
      <w:trPr>
        <w:trHeight w:val="272"/>
      </w:trPr>
      <w:tc>
        <w:tcPr>
          <w:tcW w:w="1566" w:type="dxa"/>
          <w:vMerge w:val="restart"/>
          <w:vAlign w:val="center"/>
        </w:tcPr>
        <w:p>
          <w:pPr>
            <w:jc w:val="center"/>
            <w:spacing w:before="0" w:after="0" w:line="240" w:lineRule="auto"/>
          </w:pPr>
          <w:r>
            <w:rPr>
              <w:rFonts w:ascii="Arial" w:hAnsi="Arial" w:eastAsia="Century Gothic" w:cs="Arial"/>
              <w:noProof/>
              <w:sz w:val="29"/>
              <w:szCs w:val="29"/>
              <w:lang w:eastAsia="tr-TR"/>
            </w:rPr>
            <w:drawing>
              <wp:inline xmlns:wp="http://schemas.openxmlformats.org/drawingml/2006/wordprocessingDrawing" distT="0" distB="0" distL="0" distR="0">
                <wp:extent cx="854000" cy="854000"/>
                <wp:effectExtent l="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xmlns:r="http://schemas.openxmlformats.org/officeDocument/2006/relationships" r:embed="R00470c5943c54324" cstate="print"/>
                        <a:srcRect/>
                        <a:stretch>
                          <a:fillRect/>
                        </a:stretch>
                      </pic:blipFill>
                      <pic:spPr bwMode="auto">
                        <a:xfrm>
                          <a:off x="0" y="0"/>
                          <a:ext cx="854000" cy="854000"/>
                        </a:xfrm>
                        <a:prstGeom prst="rect">
                          <a:avLst/>
                        </a:prstGeom>
                        <a:noFill/>
                        <a:ln>
                          <a:noFill/>
                        </a:ln>
                      </pic:spPr>
                    </pic:pic>
                  </a:graphicData>
                </a:graphic>
              </wp:inline>
            </w:drawing>
          </w:r>
        </w:p>
      </w:tc>
      <w:tc>
        <w:tcPr>
          <w:tcW w:w="5411" w:type="dxa"/>
          <w:vMerge w:val="restart"/>
          <w:vAlign w:val="center"/>
        </w:tcPr>
        <w:p>
          <w:pPr>
            <w:jc w:val="center"/>
            <w:spacing w:before="0" w:after="0" w:line="240" w:lineRule="auto"/>
          </w:pPr>
          <w:r>
            <w:rPr>
              <w:rFonts w:ascii="Times New Roman" w:hAnsi="Times New Roman" w:eastAsia="Century Gothic"/>
              <w:b/>
              <w:sz w:val="24"/>
              <w:szCs w:val="24"/>
            </w:rPr>
            <w:t>T.C.</w:t>
          </w:r>
        </w:p>
        <w:p>
          <w:pPr>
            <w:jc w:val="center"/>
            <w:spacing w:before="0" w:after="0" w:line="240" w:lineRule="auto"/>
          </w:pPr>
          <w:r>
            <w:rPr>
              <w:rFonts w:ascii="Times New Roman" w:hAnsi="Times New Roman" w:eastAsia="Century Gothic"/>
              <w:b/>
              <w:sz w:val="24"/>
              <w:szCs w:val="24"/>
            </w:rPr>
            <w:t>GİRESUN ÜNİVERSİTESİ</w:t>
          </w:r>
        </w:p>
        <w:p>
          <w:pPr>
            <w:jc w:val="center"/>
            <w:spacing w:before="0" w:after="0" w:line="240" w:lineRule="auto"/>
          </w:pPr>
          <w:r>
            <w:rPr>
              <w:rFonts w:ascii="Times New Roman" w:hAnsi="Times New Roman" w:eastAsia="Century Gothic"/>
              <w:b/>
              <w:sz w:val="24"/>
              <w:szCs w:val="24"/>
            </w:rPr>
            <w:t>Risk ve Fırsat Yönetimi Prosedürü</w:t>
          </w:r>
        </w:p>
      </w:tc>
      <w:tc>
        <w:tcPr>
          <w:tcW w:w="1541" w:type="dxa"/>
          <w:vAlign w:val="center"/>
        </w:tcPr>
        <w:p>
          <w:pPr>
            <w:spacing w:before="0" w:after="0" w:line="240" w:lineRule="auto"/>
          </w:pPr>
          <w:r>
            <w:rPr>
              <w:rFonts w:ascii="Times New Roman" w:hAnsi="Times New Roman" w:eastAsia="Century Gothic"/>
              <w:sz w:val="20"/>
              <w:szCs w:val="20"/>
            </w:rPr>
            <w:t>Doküman No</w:t>
          </w:r>
        </w:p>
      </w:tc>
      <w:tc>
        <w:tcPr>
          <w:tcW w:w="1491" w:type="dxa"/>
          <w:vAlign w:val="center"/>
        </w:tcPr>
        <w:p>
          <w:pPr>
            <w:spacing w:before="0" w:after="0" w:line="240" w:lineRule="auto"/>
          </w:pPr>
          <w:r>
            <w:rPr>
              <w:rFonts w:ascii="Times New Roman" w:hAnsi="Times New Roman"/>
              <w:sz w:val="20"/>
              <w:szCs w:val="20"/>
            </w:rPr>
            <w:t>KYS-PRO.008</w:t>
          </w:r>
        </w:p>
      </w:tc>
    </w:tr>
    <w:tr>
      <w:trPr>
        <w:trHeight w:val="272"/>
      </w:trPr>
      <w:tc>
        <w:tcPr>
          <w:tcW w:w="1566" w:type="dxa"/>
          <w:vMerge/>
        </w:tcPr>
        <w:p/>
      </w:tc>
      <w:tc>
        <w:tcPr>
          <w:tcW w:w="5411" w:type="dxa"/>
          <w:vMerge/>
        </w:tcPr>
        <w:p/>
      </w:tc>
      <w:tc>
        <w:tcPr>
          <w:tcW w:w="1541" w:type="dxa"/>
          <w:vAlign w:val="center"/>
        </w:tcPr>
        <w:p>
          <w:pPr>
            <w:spacing w:before="0" w:after="0" w:line="240" w:lineRule="auto"/>
          </w:pPr>
          <w:r>
            <w:rPr>
              <w:rFonts w:ascii="Times New Roman" w:hAnsi="Times New Roman" w:eastAsia="Century Gothic"/>
              <w:sz w:val="20"/>
              <w:szCs w:val="20"/>
            </w:rPr>
            <w:t>İlk Yayın Tarihi</w:t>
          </w:r>
        </w:p>
      </w:tc>
      <w:tc>
        <w:tcPr>
          <w:tcW w:w="1491" w:type="dxa"/>
          <w:vAlign w:val="center"/>
        </w:tcPr>
        <w:p>
          <w:pPr>
            <w:spacing w:before="0" w:after="0" w:line="240" w:lineRule="auto"/>
          </w:pPr>
          <w:r>
            <w:rPr>
              <w:rFonts w:ascii="Times New Roman" w:hAnsi="Times New Roman"/>
              <w:sz w:val="20"/>
              <w:szCs w:val="20"/>
            </w:rPr>
            <w:t>17.07.2026</w:t>
          </w:r>
        </w:p>
      </w:tc>
    </w:tr>
    <w:tr>
      <w:trPr>
        <w:trHeight w:val="286"/>
      </w:trPr>
      <w:tc>
        <w:tcPr>
          <w:tcW w:w="1566" w:type="dxa"/>
          <w:vMerge/>
        </w:tcPr>
        <w:p/>
      </w:tc>
      <w:tc>
        <w:tcPr>
          <w:tcW w:w="5411" w:type="dxa"/>
          <w:vMerge/>
        </w:tcPr>
        <w:p/>
      </w:tc>
      <w:tc>
        <w:tcPr>
          <w:tcW w:w="1541" w:type="dxa"/>
          <w:vAlign w:val="center"/>
        </w:tcPr>
        <w:p>
          <w:pPr>
            <w:spacing w:before="0" w:after="0" w:line="240" w:lineRule="auto"/>
          </w:pPr>
          <w:r>
            <w:rPr>
              <w:rFonts w:ascii="Times New Roman" w:hAnsi="Times New Roman" w:eastAsia="Century Gothic"/>
              <w:sz w:val="20"/>
              <w:szCs w:val="20"/>
            </w:rPr>
            <w:t>Revizyon Tarihi</w:t>
          </w:r>
        </w:p>
      </w:tc>
      <w:tc>
        <w:tcPr>
          <w:tcW w:w="1491" w:type="dxa"/>
          <w:vAlign w:val="center"/>
        </w:tcPr>
        <w:p>
          <w:pPr>
            <w:spacing w:before="0" w:after="0" w:line="240" w:lineRule="auto"/>
          </w:pPr>
          <w:r>
            <w:rPr>
              <w:rFonts w:ascii="Times New Roman" w:hAnsi="Times New Roman"/>
              <w:sz w:val="20"/>
              <w:szCs w:val="20"/>
            </w:rPr>
            <w:t/>
          </w:r>
        </w:p>
      </w:tc>
    </w:tr>
    <w:tr>
      <w:trPr>
        <w:trHeight w:val="286"/>
      </w:trPr>
      <w:tc>
        <w:tcPr>
          <w:tcW w:w="1566" w:type="dxa"/>
          <w:vMerge/>
        </w:tcPr>
        <w:p/>
      </w:tc>
      <w:tc>
        <w:tcPr>
          <w:tcW w:w="5411" w:type="dxa"/>
          <w:vMerge/>
        </w:tcPr>
        <w:p/>
      </w:tc>
      <w:tc>
        <w:tcPr>
          <w:tcW w:w="1541" w:type="dxa"/>
          <w:vAlign w:val="center"/>
        </w:tcPr>
        <w:p>
          <w:pPr>
            <w:spacing w:before="0" w:after="0" w:line="240" w:lineRule="auto"/>
          </w:pPr>
          <w:r>
            <w:rPr>
              <w:rFonts w:ascii="Times New Roman" w:hAnsi="Times New Roman" w:eastAsia="Century Gothic"/>
              <w:sz w:val="20"/>
              <w:szCs w:val="20"/>
            </w:rPr>
            <w:t>Revizyon No</w:t>
          </w:r>
        </w:p>
      </w:tc>
      <w:tc>
        <w:tcPr>
          <w:tcW w:w="1491" w:type="dxa"/>
          <w:vAlign w:val="center"/>
        </w:tcPr>
        <w:p>
          <w:pPr>
            <w:spacing w:before="0" w:after="0" w:line="240" w:lineRule="auto"/>
          </w:pPr>
          <w:r>
            <w:rPr>
              <w:rFonts w:ascii="Times New Roman" w:hAnsi="Times New Roman"/>
              <w:sz w:val="20"/>
              <w:szCs w:val="20"/>
            </w:rPr>
            <w:t>00</w:t>
          </w:r>
        </w:p>
      </w:tc>
    </w:tr>
    <w:tr>
      <w:trPr>
        <w:trHeight w:val="272"/>
      </w:trPr>
      <w:tc>
        <w:tcPr>
          <w:tcW w:w="1566" w:type="dxa"/>
          <w:vMerge/>
        </w:tcPr>
        <w:p/>
      </w:tc>
      <w:tc>
        <w:tcPr>
          <w:tcW w:w="5411" w:type="dxa"/>
          <w:vMerge/>
        </w:tcPr>
        <w:p/>
      </w:tc>
      <w:tc>
        <w:tcPr>
          <w:tcW w:w="1541" w:type="dxa"/>
          <w:vAlign w:val="center"/>
        </w:tcPr>
        <w:p>
          <w:pPr>
            <w:spacing w:before="0" w:after="0" w:line="240" w:lineRule="auto"/>
          </w:pPr>
          <w:r>
            <w:rPr>
              <w:rFonts w:ascii="Times New Roman" w:hAnsi="Times New Roman" w:eastAsia="Century Gothic"/>
              <w:sz w:val="20"/>
              <w:szCs w:val="20"/>
            </w:rPr>
            <w:t>Sayfa No</w:t>
          </w:r>
        </w:p>
      </w:tc>
      <w:tc>
        <w:tcPr>
          <w:tcW w:w="1491" w:type="dxa"/>
          <w:vAlign w:val="center"/>
        </w:tcPr>
        <w:p>
          <w:pPr>
            <w:spacing w:before="0" w:after="0" w:line="240" w:lineRule="auto"/>
          </w:pPr>
          <w:r>
            <w:rPr>
              <w:rFonts w:ascii="Times New Roman" w:hAnsi="Times New Roman" w:eastAsia="Century Gothic"/>
              <w:sz w:val="20"/>
              <w:szCs w:val="20"/>
            </w:rPr>
            <w:fldChar w:fldCharType="begin"/>
          </w:r>
          <w:r>
            <w:rPr>
              <w:rFonts w:ascii="Times New Roman" w:hAnsi="Times New Roman" w:eastAsia="Century Gothic"/>
              <w:sz w:val="20"/>
              <w:szCs w:val="20"/>
            </w:rPr>
            <w:instrText>PAGE   \* MERGEFORMAT</w:instrText>
          </w:r>
          <w:r>
            <w:rPr>
              <w:rFonts w:ascii="Times New Roman" w:hAnsi="Times New Roman" w:eastAsia="Century Gothic"/>
              <w:sz w:val="20"/>
              <w:szCs w:val="20"/>
            </w:rPr>
            <w:fldChar w:fldCharType="separate"/>
          </w:r>
          <w:r>
            <w:rPr>
              <w:rFonts w:ascii="Times New Roman" w:hAnsi="Times New Roman" w:eastAsia="Century Gothic"/>
              <w:sz w:val="20"/>
              <w:szCs w:val="20"/>
              <w:noProof/>
            </w:rPr>
            <w:t>1</w:t>
          </w:r>
          <w:r>
            <w:rPr>
              <w:rFonts w:ascii="Times New Roman" w:hAnsi="Times New Roman" w:eastAsia="Century Gothic"/>
              <w:sz w:val="20"/>
              <w:szCs w:val="20"/>
            </w:rPr>
            <w:fldChar w:fldCharType="end"/>
          </w:r>
          <w:r>
            <w:rPr>
              <w:rFonts w:ascii="Times New Roman" w:hAnsi="Times New Roman" w:eastAsia="Century Gothic"/>
              <w:sz w:val="20"/>
              <w:szCs w:val="20"/>
            </w:rPr>
            <w:t>/</w:t>
          </w:r>
          <w:r>
            <w:rPr>
              <w:rFonts w:ascii="Times New Roman" w:hAnsi="Times New Roman" w:eastAsia="Century Gothic"/>
              <w:sz w:val="20"/>
              <w:szCs w:val="20"/>
            </w:rPr>
            <w:fldChar w:fldCharType="begin"/>
          </w:r>
          <w:r>
            <w:rPr>
              <w:rFonts w:ascii="Times New Roman" w:hAnsi="Times New Roman" w:eastAsia="Century Gothic"/>
              <w:sz w:val="20"/>
              <w:szCs w:val="20"/>
            </w:rPr>
            <w:instrText>NUMPAGES   \* MERGEFORMAT</w:instrText>
          </w:r>
          <w:r>
            <w:rPr>
              <w:rFonts w:ascii="Times New Roman" w:hAnsi="Times New Roman" w:eastAsia="Century Gothic"/>
              <w:sz w:val="20"/>
              <w:szCs w:val="20"/>
            </w:rPr>
            <w:fldChar w:fldCharType="separate"/>
          </w:r>
          <w:r>
            <w:rPr>
              <w:rFonts w:ascii="Times New Roman" w:hAnsi="Times New Roman" w:eastAsia="Century Gothic"/>
              <w:sz w:val="20"/>
              <w:szCs w:val="20"/>
              <w:noProof/>
            </w:rPr>
            <w:t>1</w:t>
          </w:r>
          <w:r>
            <w:rPr>
              <w:rFonts w:ascii="Times New Roman" w:hAnsi="Times New Roman" w:eastAsia="Century Gothic"/>
              <w:sz w:val="20"/>
              <w:szCs w:val="20"/>
            </w:rPr>
            <w:fldChar w:fldCharType="end"/>
          </w:r>
        </w:p>
      </w:tc>
    </w:tr>
  </w:tbl>
  <w:p>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umara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umara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eMaddemi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eMaddemi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umara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eMaddemi"/>
      <w:lvlText w:val=""/>
      <w:lvlJc w:val="left"/>
      <w:pPr>
        <w:tabs>
          <w:tab w:val="num" w:pos="360"/>
        </w:tabs>
        <w:ind w:left="360" w:hanging="360"/>
      </w:pPr>
      <w:rPr>
        <w:rFonts w:ascii="Symbol" w:hAnsi="Symbol" w:hint="default"/>
      </w:rPr>
    </w:lvl>
  </w:abstractNum>
  <w:num w:numId="1" w16cid:durableId="1928029883">
    <w:abstractNumId w:val="8"/>
  </w:num>
  <w:num w:numId="2" w16cid:durableId="4210371">
    <w:abstractNumId w:val="6"/>
  </w:num>
  <w:num w:numId="3" w16cid:durableId="1829785868">
    <w:abstractNumId w:val="5"/>
  </w:num>
  <w:num w:numId="4" w16cid:durableId="1528638862">
    <w:abstractNumId w:val="4"/>
  </w:num>
  <w:num w:numId="5" w16cid:durableId="1432780150">
    <w:abstractNumId w:val="7"/>
  </w:num>
  <w:num w:numId="6" w16cid:durableId="815339638">
    <w:abstractNumId w:val="3"/>
  </w:num>
  <w:num w:numId="7" w16cid:durableId="1522207212">
    <w:abstractNumId w:val="2"/>
  </w:num>
  <w:num w:numId="8" w16cid:durableId="397213777">
    <w:abstractNumId w:val="1"/>
  </w:num>
  <w:num w:numId="9" w16cid:durableId="2144805432">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0"/>
  <w:proofState w:spelling="clean" w:grammar="clean"/>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647A4"/>
    <w:rsid w:val="0029639D"/>
    <w:rsid w:val="00326F90"/>
    <w:rsid w:val="00465AFD"/>
    <w:rsid w:val="00761AF3"/>
    <w:rsid w:val="00825579"/>
    <w:rsid w:val="00AA1D8D"/>
    <w:rsid w:val="00B47730"/>
    <w:rsid w:val="00C4512C"/>
    <w:rsid w:val="00CB0664"/>
    <w:rsid w:val="00DA5503"/>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053E1D8"/>
  <w14:defaultImageDpi w14:val="300"/>
  <w15:docId w15:val="{6E07AEB4-2724-7249-BB1B-D674D147CC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Times New Roman" w:hAnsi="Times New Roman"/>
    </w:rPr>
  </w:style>
  <w:style w:type="paragraph" w:styleId="Balk1">
    <w:name w:val="heading 1"/>
    <w:basedOn w:val="Normal"/>
    <w:next w:val="Normal"/>
    <w:link w:val="Balk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alk3">
    <w:name w:val="heading 3"/>
    <w:basedOn w:val="Normal"/>
    <w:next w:val="Normal"/>
    <w:link w:val="Balk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Balk4">
    <w:name w:val="heading 4"/>
    <w:basedOn w:val="Normal"/>
    <w:next w:val="Normal"/>
    <w:link w:val="Balk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Balk5">
    <w:name w:val="heading 5"/>
    <w:basedOn w:val="Normal"/>
    <w:next w:val="Normal"/>
    <w:link w:val="Balk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Balk6">
    <w:name w:val="heading 6"/>
    <w:basedOn w:val="Normal"/>
    <w:next w:val="Normal"/>
    <w:link w:val="Balk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alk7">
    <w:name w:val="heading 7"/>
    <w:basedOn w:val="Normal"/>
    <w:next w:val="Normal"/>
    <w:link w:val="Balk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alk8">
    <w:name w:val="heading 8"/>
    <w:basedOn w:val="Normal"/>
    <w:next w:val="Normal"/>
    <w:link w:val="Balk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Balk9">
    <w:name w:val="heading 9"/>
    <w:basedOn w:val="Normal"/>
    <w:next w:val="Normal"/>
    <w:link w:val="Balk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E618BF"/>
    <w:pPr>
      <w:tabs>
        <w:tab w:val="center" w:pos="4680"/>
        <w:tab w:val="right" w:pos="9360"/>
      </w:tabs>
      <w:spacing w:after="0" w:line="240" w:lineRule="auto"/>
    </w:pPr>
  </w:style>
  <w:style w:type="character" w:customStyle="1" w:styleId="stBilgiChar">
    <w:name w:val="Üst Bilgi Char"/>
    <w:basedOn w:val="VarsaylanParagrafYazTipi"/>
    <w:link w:val="stBilgi"/>
    <w:uiPriority w:val="99"/>
    <w:rsid w:val="00E618BF"/>
  </w:style>
  <w:style w:type="paragraph" w:styleId="AltBilgi">
    <w:name w:val="footer"/>
    <w:basedOn w:val="Normal"/>
    <w:link w:val="AltBilgiChar"/>
    <w:uiPriority w:val="99"/>
    <w:unhideWhenUsed/>
    <w:rsid w:val="00E618BF"/>
    <w:pPr>
      <w:tabs>
        <w:tab w:val="center" w:pos="4680"/>
        <w:tab w:val="right" w:pos="9360"/>
      </w:tabs>
      <w:spacing w:after="0" w:line="240" w:lineRule="auto"/>
    </w:pPr>
  </w:style>
  <w:style w:type="character" w:customStyle="1" w:styleId="AltBilgiChar">
    <w:name w:val="Alt Bilgi Char"/>
    <w:basedOn w:val="VarsaylanParagrafYazTipi"/>
    <w:link w:val="AltBilgi"/>
    <w:uiPriority w:val="99"/>
    <w:rsid w:val="00E618BF"/>
  </w:style>
  <w:style w:type="paragraph" w:styleId="AralkYok">
    <w:name w:val="No Spacing"/>
    <w:uiPriority w:val="1"/>
    <w:qFormat/>
    <w:rsid w:val="00FC693F"/>
    <w:pPr>
      <w:spacing w:after="0" w:line="240" w:lineRule="auto"/>
    </w:pPr>
  </w:style>
  <w:style w:type="character" w:customStyle="1" w:styleId="Balk1Char">
    <w:name w:val="Başlık 1 Char"/>
    <w:basedOn w:val="VarsaylanParagrafYazTipi"/>
    <w:link w:val="Bal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Balk2Char">
    <w:name w:val="Başlık 2 Char"/>
    <w:basedOn w:val="VarsaylanParagrafYazTipi"/>
    <w:link w:val="Balk2"/>
    <w:uiPriority w:val="9"/>
    <w:rsid w:val="00FC693F"/>
    <w:rPr>
      <w:rFonts w:asciiTheme="majorHAnsi" w:eastAsiaTheme="majorEastAsia" w:hAnsiTheme="majorHAnsi" w:cstheme="majorBidi"/>
      <w:b/>
      <w:bCs/>
      <w:color w:val="4F81BD" w:themeColor="accent1"/>
      <w:sz w:val="26"/>
      <w:szCs w:val="26"/>
    </w:rPr>
  </w:style>
  <w:style w:type="character" w:customStyle="1" w:styleId="Balk3Char">
    <w:name w:val="Başlık 3 Char"/>
    <w:basedOn w:val="VarsaylanParagrafYazTipi"/>
    <w:link w:val="Balk3"/>
    <w:uiPriority w:val="9"/>
    <w:rsid w:val="00FC693F"/>
    <w:rPr>
      <w:rFonts w:asciiTheme="majorHAnsi" w:eastAsiaTheme="majorEastAsia" w:hAnsiTheme="majorHAnsi" w:cstheme="majorBidi"/>
      <w:b/>
      <w:bCs/>
      <w:color w:val="4F81BD" w:themeColor="accent1"/>
    </w:rPr>
  </w:style>
  <w:style w:type="paragraph" w:styleId="KonuBal">
    <w:name w:val="Title"/>
    <w:basedOn w:val="Normal"/>
    <w:next w:val="Normal"/>
    <w:link w:val="KonuBal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KonuBalChar">
    <w:name w:val="Konu Başlığı Char"/>
    <w:basedOn w:val="VarsaylanParagrafYazTipi"/>
    <w:link w:val="KonuBa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ltyaz">
    <w:name w:val="Subtitle"/>
    <w:basedOn w:val="Normal"/>
    <w:next w:val="Normal"/>
    <w:link w:val="Altyaz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ltyazChar">
    <w:name w:val="Altyazı Char"/>
    <w:basedOn w:val="VarsaylanParagrafYazTipi"/>
    <w:link w:val="Altyaz"/>
    <w:uiPriority w:val="11"/>
    <w:rsid w:val="00FC693F"/>
    <w:rPr>
      <w:rFonts w:asciiTheme="majorHAnsi" w:eastAsiaTheme="majorEastAsia" w:hAnsiTheme="majorHAnsi" w:cstheme="majorBidi"/>
      <w:i/>
      <w:iCs/>
      <w:color w:val="4F81BD" w:themeColor="accent1"/>
      <w:spacing w:val="15"/>
      <w:sz w:val="24"/>
      <w:szCs w:val="24"/>
    </w:rPr>
  </w:style>
  <w:style w:type="paragraph" w:styleId="ListeParagraf">
    <w:name w:val="List Paragraph"/>
    <w:basedOn w:val="Normal"/>
    <w:uiPriority w:val="34"/>
    <w:qFormat/>
    <w:rsid w:val="00FC693F"/>
    <w:pPr>
      <w:ind w:left="720"/>
      <w:contextualSpacing/>
    </w:pPr>
  </w:style>
  <w:style w:type="paragraph" w:styleId="GvdeMetni">
    <w:name w:val="Body Text"/>
    <w:basedOn w:val="Normal"/>
    <w:link w:val="GvdeMetniChar"/>
    <w:uiPriority w:val="99"/>
    <w:unhideWhenUsed/>
    <w:rsid w:val="00AA1D8D"/>
    <w:pPr>
      <w:spacing w:after="120"/>
    </w:pPr>
  </w:style>
  <w:style w:type="character" w:customStyle="1" w:styleId="GvdeMetniChar">
    <w:name w:val="Gövde Metni Char"/>
    <w:basedOn w:val="VarsaylanParagrafYazTipi"/>
    <w:link w:val="GvdeMetni"/>
    <w:uiPriority w:val="99"/>
    <w:rsid w:val="00AA1D8D"/>
  </w:style>
  <w:style w:type="paragraph" w:styleId="GvdeMetni2">
    <w:name w:val="Body Text 2"/>
    <w:basedOn w:val="Normal"/>
    <w:link w:val="GvdeMetni2Char"/>
    <w:uiPriority w:val="99"/>
    <w:unhideWhenUsed/>
    <w:rsid w:val="00AA1D8D"/>
    <w:pPr>
      <w:spacing w:after="120" w:line="480" w:lineRule="auto"/>
    </w:pPr>
  </w:style>
  <w:style w:type="character" w:customStyle="1" w:styleId="GvdeMetni2Char">
    <w:name w:val="Gövde Metni 2 Char"/>
    <w:basedOn w:val="VarsaylanParagrafYazTipi"/>
    <w:link w:val="GvdeMetni2"/>
    <w:uiPriority w:val="99"/>
    <w:rsid w:val="00AA1D8D"/>
  </w:style>
  <w:style w:type="paragraph" w:styleId="GvdeMetni3">
    <w:name w:val="Body Text 3"/>
    <w:basedOn w:val="Normal"/>
    <w:link w:val="GvdeMetni3Char"/>
    <w:uiPriority w:val="99"/>
    <w:unhideWhenUsed/>
    <w:rsid w:val="00AA1D8D"/>
    <w:pPr>
      <w:spacing w:after="120"/>
    </w:pPr>
    <w:rPr>
      <w:sz w:val="16"/>
      <w:szCs w:val="16"/>
    </w:rPr>
  </w:style>
  <w:style w:type="character" w:customStyle="1" w:styleId="GvdeMetni3Char">
    <w:name w:val="Gövde Metni 3 Char"/>
    <w:basedOn w:val="VarsaylanParagrafYazTipi"/>
    <w:link w:val="GvdeMetni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Maddemi">
    <w:name w:val="List Bullet"/>
    <w:basedOn w:val="Normal"/>
    <w:uiPriority w:val="99"/>
    <w:unhideWhenUsed/>
    <w:rsid w:val="00326F90"/>
    <w:pPr>
      <w:numPr>
        <w:numId w:val="1"/>
      </w:numPr>
      <w:contextualSpacing/>
    </w:pPr>
  </w:style>
  <w:style w:type="paragraph" w:styleId="ListeMaddemi2">
    <w:name w:val="List Bullet 2"/>
    <w:basedOn w:val="Normal"/>
    <w:uiPriority w:val="99"/>
    <w:unhideWhenUsed/>
    <w:rsid w:val="00326F90"/>
    <w:pPr>
      <w:numPr>
        <w:numId w:val="2"/>
      </w:numPr>
      <w:contextualSpacing/>
    </w:pPr>
  </w:style>
  <w:style w:type="paragraph" w:styleId="ListeMaddemi3">
    <w:name w:val="List Bullet 3"/>
    <w:basedOn w:val="Normal"/>
    <w:uiPriority w:val="99"/>
    <w:unhideWhenUsed/>
    <w:rsid w:val="00326F90"/>
    <w:pPr>
      <w:numPr>
        <w:numId w:val="3"/>
      </w:numPr>
      <w:contextualSpacing/>
    </w:pPr>
  </w:style>
  <w:style w:type="paragraph" w:styleId="ListeNumaras">
    <w:name w:val="List Number"/>
    <w:basedOn w:val="Normal"/>
    <w:uiPriority w:val="99"/>
    <w:unhideWhenUsed/>
    <w:rsid w:val="00326F90"/>
    <w:pPr>
      <w:numPr>
        <w:numId w:val="5"/>
      </w:numPr>
      <w:contextualSpacing/>
    </w:pPr>
  </w:style>
  <w:style w:type="paragraph" w:styleId="ListeNumaras2">
    <w:name w:val="List Number 2"/>
    <w:basedOn w:val="Normal"/>
    <w:uiPriority w:val="99"/>
    <w:unhideWhenUsed/>
    <w:rsid w:val="0029639D"/>
    <w:pPr>
      <w:numPr>
        <w:numId w:val="6"/>
      </w:numPr>
      <w:contextualSpacing/>
    </w:pPr>
  </w:style>
  <w:style w:type="paragraph" w:styleId="ListeNumaras3">
    <w:name w:val="List Number 3"/>
    <w:basedOn w:val="Normal"/>
    <w:uiPriority w:val="99"/>
    <w:unhideWhenUsed/>
    <w:rsid w:val="0029639D"/>
    <w:pPr>
      <w:numPr>
        <w:numId w:val="7"/>
      </w:numPr>
      <w:contextualSpacing/>
    </w:pPr>
  </w:style>
  <w:style w:type="paragraph" w:styleId="ListeDevam">
    <w:name w:val="List Continue"/>
    <w:basedOn w:val="Normal"/>
    <w:uiPriority w:val="99"/>
    <w:unhideWhenUsed/>
    <w:rsid w:val="0029639D"/>
    <w:pPr>
      <w:spacing w:after="120"/>
      <w:ind w:left="360"/>
      <w:contextualSpacing/>
    </w:pPr>
  </w:style>
  <w:style w:type="paragraph" w:styleId="ListeDevam2">
    <w:name w:val="List Continue 2"/>
    <w:basedOn w:val="Normal"/>
    <w:uiPriority w:val="99"/>
    <w:unhideWhenUsed/>
    <w:rsid w:val="0029639D"/>
    <w:pPr>
      <w:spacing w:after="120"/>
      <w:ind w:left="720"/>
      <w:contextualSpacing/>
    </w:pPr>
  </w:style>
  <w:style w:type="paragraph" w:styleId="ListeDevam3">
    <w:name w:val="List Continue 3"/>
    <w:basedOn w:val="Normal"/>
    <w:uiPriority w:val="99"/>
    <w:unhideWhenUsed/>
    <w:rsid w:val="0029639D"/>
    <w:pPr>
      <w:spacing w:after="120"/>
      <w:ind w:left="1080"/>
      <w:contextualSpacing/>
    </w:pPr>
  </w:style>
  <w:style w:type="paragraph" w:styleId="MakroMetni">
    <w:name w:val="macro"/>
    <w:link w:val="MakroMetni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MetniChar">
    <w:name w:val="Makro Metni Char"/>
    <w:basedOn w:val="VarsaylanParagrafYazTipi"/>
    <w:link w:val="MakroMetni"/>
    <w:uiPriority w:val="99"/>
    <w:rsid w:val="0029639D"/>
    <w:rPr>
      <w:rFonts w:ascii="Courier" w:hAnsi="Courier"/>
      <w:sz w:val="20"/>
      <w:szCs w:val="20"/>
    </w:rPr>
  </w:style>
  <w:style w:type="paragraph" w:styleId="Alnt">
    <w:name w:val="Quote"/>
    <w:basedOn w:val="Normal"/>
    <w:next w:val="Normal"/>
    <w:link w:val="AlntChar"/>
    <w:uiPriority w:val="29"/>
    <w:qFormat/>
    <w:rsid w:val="00FC693F"/>
    <w:rPr>
      <w:i/>
      <w:iCs/>
      <w:color w:val="000000" w:themeColor="text1"/>
    </w:rPr>
  </w:style>
  <w:style w:type="character" w:customStyle="1" w:styleId="AlntChar">
    <w:name w:val="Alıntı Char"/>
    <w:basedOn w:val="VarsaylanParagrafYazTipi"/>
    <w:link w:val="Alnt"/>
    <w:uiPriority w:val="29"/>
    <w:rsid w:val="00FC693F"/>
    <w:rPr>
      <w:i/>
      <w:iCs/>
      <w:color w:val="000000" w:themeColor="text1"/>
    </w:rPr>
  </w:style>
  <w:style w:type="character" w:customStyle="1" w:styleId="Balk4Char">
    <w:name w:val="Başlık 4 Char"/>
    <w:basedOn w:val="VarsaylanParagrafYazTipi"/>
    <w:link w:val="Balk4"/>
    <w:uiPriority w:val="9"/>
    <w:semiHidden/>
    <w:rsid w:val="00FC693F"/>
    <w:rPr>
      <w:rFonts w:asciiTheme="majorHAnsi" w:eastAsiaTheme="majorEastAsia" w:hAnsiTheme="majorHAnsi" w:cstheme="majorBidi"/>
      <w:b/>
      <w:bCs/>
      <w:i/>
      <w:iCs/>
      <w:color w:val="4F81BD" w:themeColor="accent1"/>
    </w:rPr>
  </w:style>
  <w:style w:type="character" w:customStyle="1" w:styleId="Balk5Char">
    <w:name w:val="Başlık 5 Char"/>
    <w:basedOn w:val="VarsaylanParagrafYazTipi"/>
    <w:link w:val="Balk5"/>
    <w:uiPriority w:val="9"/>
    <w:semiHidden/>
    <w:rsid w:val="00FC693F"/>
    <w:rPr>
      <w:rFonts w:asciiTheme="majorHAnsi" w:eastAsiaTheme="majorEastAsia" w:hAnsiTheme="majorHAnsi" w:cstheme="majorBidi"/>
      <w:color w:val="243F60" w:themeColor="accent1" w:themeShade="7F"/>
    </w:rPr>
  </w:style>
  <w:style w:type="character" w:customStyle="1" w:styleId="Balk6Char">
    <w:name w:val="Başlık 6 Char"/>
    <w:basedOn w:val="VarsaylanParagrafYazTipi"/>
    <w:link w:val="Balk6"/>
    <w:uiPriority w:val="9"/>
    <w:semiHidden/>
    <w:rsid w:val="00FC693F"/>
    <w:rPr>
      <w:rFonts w:asciiTheme="majorHAnsi" w:eastAsiaTheme="majorEastAsia" w:hAnsiTheme="majorHAnsi" w:cstheme="majorBidi"/>
      <w:i/>
      <w:iCs/>
      <w:color w:val="243F60" w:themeColor="accent1" w:themeShade="7F"/>
    </w:rPr>
  </w:style>
  <w:style w:type="character" w:customStyle="1" w:styleId="Balk7Char">
    <w:name w:val="Başlık 7 Char"/>
    <w:basedOn w:val="VarsaylanParagrafYazTipi"/>
    <w:link w:val="Balk7"/>
    <w:uiPriority w:val="9"/>
    <w:semiHidden/>
    <w:rsid w:val="00FC693F"/>
    <w:rPr>
      <w:rFonts w:asciiTheme="majorHAnsi" w:eastAsiaTheme="majorEastAsia" w:hAnsiTheme="majorHAnsi" w:cstheme="majorBidi"/>
      <w:i/>
      <w:iCs/>
      <w:color w:val="404040" w:themeColor="text1" w:themeTint="BF"/>
    </w:rPr>
  </w:style>
  <w:style w:type="character" w:customStyle="1" w:styleId="Balk8Char">
    <w:name w:val="Başlık 8 Char"/>
    <w:basedOn w:val="VarsaylanParagrafYazTipi"/>
    <w:link w:val="Balk8"/>
    <w:uiPriority w:val="9"/>
    <w:semiHidden/>
    <w:rsid w:val="00FC693F"/>
    <w:rPr>
      <w:rFonts w:asciiTheme="majorHAnsi" w:eastAsiaTheme="majorEastAsia" w:hAnsiTheme="majorHAnsi" w:cstheme="majorBidi"/>
      <w:color w:val="4F81BD" w:themeColor="accent1"/>
      <w:sz w:val="20"/>
      <w:szCs w:val="20"/>
    </w:rPr>
  </w:style>
  <w:style w:type="character" w:customStyle="1" w:styleId="Balk9Char">
    <w:name w:val="Başlık 9 Char"/>
    <w:basedOn w:val="VarsaylanParagrafYazTipi"/>
    <w:link w:val="Balk9"/>
    <w:uiPriority w:val="9"/>
    <w:semiHidden/>
    <w:rsid w:val="00FC693F"/>
    <w:rPr>
      <w:rFonts w:asciiTheme="majorHAnsi" w:eastAsiaTheme="majorEastAsia" w:hAnsiTheme="majorHAnsi" w:cstheme="majorBidi"/>
      <w:i/>
      <w:iCs/>
      <w:color w:val="404040" w:themeColor="text1" w:themeTint="BF"/>
      <w:sz w:val="20"/>
      <w:szCs w:val="20"/>
    </w:rPr>
  </w:style>
  <w:style w:type="paragraph" w:styleId="ResimYazs">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Gl">
    <w:name w:val="Strong"/>
    <w:basedOn w:val="VarsaylanParagrafYazTipi"/>
    <w:uiPriority w:val="22"/>
    <w:qFormat/>
    <w:rsid w:val="00FC693F"/>
    <w:rPr>
      <w:b/>
      <w:bCs/>
    </w:rPr>
  </w:style>
  <w:style w:type="character" w:styleId="Vurgu">
    <w:name w:val="Emphasis"/>
    <w:basedOn w:val="VarsaylanParagrafYazTipi"/>
    <w:uiPriority w:val="20"/>
    <w:qFormat/>
    <w:rsid w:val="00FC693F"/>
    <w:rPr>
      <w:i/>
      <w:iCs/>
    </w:rPr>
  </w:style>
  <w:style w:type="paragraph" w:styleId="GlAlnt">
    <w:name w:val="Intense Quote"/>
    <w:basedOn w:val="Normal"/>
    <w:next w:val="Normal"/>
    <w:link w:val="GlAln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GlAlntChar">
    <w:name w:val="Güçlü Alıntı Char"/>
    <w:basedOn w:val="VarsaylanParagrafYazTipi"/>
    <w:link w:val="GlAlnt"/>
    <w:uiPriority w:val="30"/>
    <w:rsid w:val="00FC693F"/>
    <w:rPr>
      <w:b/>
      <w:bCs/>
      <w:i/>
      <w:iCs/>
      <w:color w:val="4F81BD" w:themeColor="accent1"/>
    </w:rPr>
  </w:style>
  <w:style w:type="character" w:styleId="HafifVurgulama">
    <w:name w:val="Subtle Emphasis"/>
    <w:basedOn w:val="VarsaylanParagrafYazTipi"/>
    <w:uiPriority w:val="19"/>
    <w:qFormat/>
    <w:rsid w:val="00FC693F"/>
    <w:rPr>
      <w:i/>
      <w:iCs/>
      <w:color w:val="808080" w:themeColor="text1" w:themeTint="7F"/>
    </w:rPr>
  </w:style>
  <w:style w:type="character" w:styleId="GlVurgulama">
    <w:name w:val="Intense Emphasis"/>
    <w:basedOn w:val="VarsaylanParagrafYazTipi"/>
    <w:uiPriority w:val="21"/>
    <w:qFormat/>
    <w:rsid w:val="00FC693F"/>
    <w:rPr>
      <w:b/>
      <w:bCs/>
      <w:i/>
      <w:iCs/>
      <w:color w:val="4F81BD" w:themeColor="accent1"/>
    </w:rPr>
  </w:style>
  <w:style w:type="character" w:styleId="HafifBavuru">
    <w:name w:val="Subtle Reference"/>
    <w:basedOn w:val="VarsaylanParagrafYazTipi"/>
    <w:uiPriority w:val="31"/>
    <w:qFormat/>
    <w:rsid w:val="00FC693F"/>
    <w:rPr>
      <w:smallCaps/>
      <w:color w:val="C0504D" w:themeColor="accent2"/>
      <w:u w:val="single"/>
    </w:rPr>
  </w:style>
  <w:style w:type="character" w:styleId="GlBavuru">
    <w:name w:val="Intense Reference"/>
    <w:basedOn w:val="VarsaylanParagrafYazTipi"/>
    <w:uiPriority w:val="32"/>
    <w:qFormat/>
    <w:rsid w:val="00FC693F"/>
    <w:rPr>
      <w:b/>
      <w:bCs/>
      <w:smallCaps/>
      <w:color w:val="C0504D" w:themeColor="accent2"/>
      <w:spacing w:val="5"/>
      <w:u w:val="single"/>
    </w:rPr>
  </w:style>
  <w:style w:type="character" w:styleId="KitapBal">
    <w:name w:val="Book Title"/>
    <w:basedOn w:val="VarsaylanParagrafYazTipi"/>
    <w:uiPriority w:val="33"/>
    <w:qFormat/>
    <w:rsid w:val="00FC693F"/>
    <w:rPr>
      <w:b/>
      <w:bCs/>
      <w:smallCaps/>
      <w:spacing w:val="5"/>
    </w:rPr>
  </w:style>
  <w:style w:type="paragraph" w:styleId="TBal">
    <w:name w:val="TOC Heading"/>
    <w:basedOn w:val="Balk1"/>
    <w:next w:val="Normal"/>
    <w:uiPriority w:val="39"/>
    <w:semiHidden/>
    <w:unhideWhenUsed/>
    <w:qFormat/>
    <w:rsid w:val="00FC693F"/>
    <w:pPr>
      <w:outlineLvl w:val="9"/>
    </w:pPr>
  </w:style>
  <w:style w:type="table" w:styleId="TabloKlavuzu">
    <w:name w:val="Table Grid"/>
    <w:basedOn w:val="NormalTablo"/>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kGlgeleme">
    <w:name w:val="Light Shading"/>
    <w:basedOn w:val="NormalTablo"/>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AkGlgeleme-Vurgu1">
    <w:name w:val="Light Shading Accent 1"/>
    <w:basedOn w:val="NormalTablo"/>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Glgeleme-Vurgu2">
    <w:name w:val="Light Shading Accent 2"/>
    <w:basedOn w:val="NormalTablo"/>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AkGlgeleme-Vurgu3">
    <w:name w:val="Light Shading Accent 3"/>
    <w:basedOn w:val="NormalTablo"/>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AkGlgeleme-Vurgu4">
    <w:name w:val="Light Shading Accent 4"/>
    <w:basedOn w:val="NormalTablo"/>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AkGlgeleme-Vurgu5">
    <w:name w:val="Light Shading Accent 5"/>
    <w:basedOn w:val="NormalTablo"/>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AkGlgeleme-Vurgu6">
    <w:name w:val="Light Shading Accent 6"/>
    <w:basedOn w:val="NormalTablo"/>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kListe">
    <w:name w:val="Light List"/>
    <w:basedOn w:val="NormalTablo"/>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AkListe-Vurgu1">
    <w:name w:val="Light List Accent 1"/>
    <w:basedOn w:val="NormalTablo"/>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kListe-Vurgu2">
    <w:name w:val="Light List Accent 2"/>
    <w:basedOn w:val="NormalTablo"/>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AkListe-Vurgu3">
    <w:name w:val="Light List Accent 3"/>
    <w:basedOn w:val="NormalTablo"/>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AkListe-Vurgu4">
    <w:name w:val="Light List Accent 4"/>
    <w:basedOn w:val="NormalTablo"/>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AkListe-Vurgu5">
    <w:name w:val="Light List Accent 5"/>
    <w:basedOn w:val="NormalTablo"/>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AkListe-Vurgu6">
    <w:name w:val="Light List Accent 6"/>
    <w:basedOn w:val="NormalTablo"/>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kKlavuz">
    <w:name w:val="Light Grid"/>
    <w:basedOn w:val="NormalTablo"/>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AkKlavuz-Vurgu1">
    <w:name w:val="Light Grid Accent 1"/>
    <w:basedOn w:val="NormalTablo"/>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Klavuz-Vurgu2">
    <w:name w:val="Light Grid Accent 2"/>
    <w:basedOn w:val="NormalTablo"/>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AkKlavuz-Vurgu3">
    <w:name w:val="Light Grid Accent 3"/>
    <w:basedOn w:val="NormalTablo"/>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AkKlavuz-Vurgu4">
    <w:name w:val="Light Grid Accent 4"/>
    <w:basedOn w:val="NormalTablo"/>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AkKlavuz-Vurgu5">
    <w:name w:val="Light Grid Accent 5"/>
    <w:basedOn w:val="NormalTablo"/>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AkKlavuz-Vurgu6">
    <w:name w:val="Light Grid Accent 6"/>
    <w:basedOn w:val="NormalTablo"/>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OrtaGlgeleme1">
    <w:name w:val="Medium Shading 1"/>
    <w:basedOn w:val="NormalTablo"/>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OrtaGlgeleme1-Vurgu1">
    <w:name w:val="Medium Shading 1 Accent 1"/>
    <w:basedOn w:val="NormalTablo"/>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OrtaGlgeleme1-Vurgu2">
    <w:name w:val="Medium Shading 1 Accent 2"/>
    <w:basedOn w:val="NormalTablo"/>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OrtaGlgeleme1-Vurgu3">
    <w:name w:val="Medium Shading 1 Accent 3"/>
    <w:basedOn w:val="NormalTablo"/>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OrtaGlgeleme1-Vurgu4">
    <w:name w:val="Medium Shading 1 Accent 4"/>
    <w:basedOn w:val="NormalTablo"/>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OrtaGlgeleme1-Vurgu5">
    <w:name w:val="Medium Shading 1 Accent 5"/>
    <w:basedOn w:val="NormalTablo"/>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OrtaGlgeleme1-Vurgu6">
    <w:name w:val="Medium Shading 1 Accent 6"/>
    <w:basedOn w:val="NormalTablo"/>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OrtaGlgeleme2">
    <w:name w:val="Medium Shading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1">
    <w:name w:val="Medium Shading 2 Accent 1"/>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2">
    <w:name w:val="Medium Shading 2 Accent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3">
    <w:name w:val="Medium Shading 2 Accent 3"/>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4">
    <w:name w:val="Medium Shading 2 Accent 4"/>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5">
    <w:name w:val="Medium Shading 2 Accent 5"/>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6">
    <w:name w:val="Medium Shading 2 Accent 6"/>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Liste1">
    <w:name w:val="Medium List 1"/>
    <w:basedOn w:val="NormalTablo"/>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OrtaListe1-Vurgu1">
    <w:name w:val="Medium List 1 Accent 1"/>
    <w:basedOn w:val="NormalTablo"/>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OrtaListe1-Vurgu2">
    <w:name w:val="Medium List 1 Accent 2"/>
    <w:basedOn w:val="NormalTablo"/>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OrtaListe1-Vurgu3">
    <w:name w:val="Medium List 1 Accent 3"/>
    <w:basedOn w:val="NormalTablo"/>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OrtaListe1-Vurgu4">
    <w:name w:val="Medium List 1 Accent 4"/>
    <w:basedOn w:val="NormalTablo"/>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OrtaListe1-Vurgu5">
    <w:name w:val="Medium List 1 Accent 5"/>
    <w:basedOn w:val="NormalTablo"/>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OrtaListe1-Vurgu6">
    <w:name w:val="Medium List 1 Accent 6"/>
    <w:basedOn w:val="NormalTablo"/>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OrtaListe2">
    <w:name w:val="Medium Lis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2-Vurgu1">
    <w:name w:val="Medium List 2 Accent 1"/>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2">
    <w:name w:val="Medium List 2 Accen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3">
    <w:name w:val="Medium List 2 Accent 3"/>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4">
    <w:name w:val="Medium List 2 Accent 4"/>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5">
    <w:name w:val="Medium List 2 Accent 5"/>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6">
    <w:name w:val="Medium List 2 Accent 6"/>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OrtaKlavuz1">
    <w:name w:val="Medium Grid 1"/>
    <w:basedOn w:val="NormalTablo"/>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1-Vurgu1">
    <w:name w:val="Medium Grid 1 Accent 1"/>
    <w:basedOn w:val="NormalTablo"/>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OrtaKlavuz1-Vurgu2">
    <w:name w:val="Medium Grid 1 Accent 2"/>
    <w:basedOn w:val="NormalTablo"/>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OrtaKlavuz1-Vurgu3">
    <w:name w:val="Medium Grid 1 Accent 3"/>
    <w:basedOn w:val="NormalTablo"/>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OrtaKlavuz1-Vurgu4">
    <w:name w:val="Medium Grid 1 Accent 4"/>
    <w:basedOn w:val="NormalTablo"/>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OrtaKlavuz1-Vurgu5">
    <w:name w:val="Medium Grid 1 Accent 5"/>
    <w:basedOn w:val="NormalTablo"/>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OrtaKlavuz1-Vurgu6">
    <w:name w:val="Medium Grid 1 Accent 6"/>
    <w:basedOn w:val="NormalTablo"/>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OrtaKlavuz2">
    <w:name w:val="Medium Grid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2-Vurgu1">
    <w:name w:val="Medium Grid 2 Accent 1"/>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OrtaKlavuz2-Vurgu2">
    <w:name w:val="Medium Grid 2 Accent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OrtaKlavuz2-Vurgu3">
    <w:name w:val="Medium Grid 2 Accent 3"/>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OrtaKlavuz2-Vurgu4">
    <w:name w:val="Medium Grid 2 Accent 4"/>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OrtaKlavuz2-Vurgu5">
    <w:name w:val="Medium Grid 2 Accent 5"/>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OrtaKlavuz2-Vurgu6">
    <w:name w:val="Medium Grid 2 Accent 6"/>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OrtaKlavuz3">
    <w:name w:val="Medium Grid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Klavuz3-Vurgu1">
    <w:name w:val="Medium Grid 3 Accent 1"/>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OrtaKlavuz3-Vurgu2">
    <w:name w:val="Medium Grid 3 Accent 2"/>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OrtaKlavuz3-Vurgu3">
    <w:name w:val="Medium Grid 3 Accent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OrtaKlavuz3-Vurgu4">
    <w:name w:val="Medium Grid 3 Accent 4"/>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OrtaKlavuz3-Vurgu5">
    <w:name w:val="Medium Grid 3 Accent 5"/>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OrtaKlavuz3-Vurgu6">
    <w:name w:val="Medium Grid 3 Accent 6"/>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KoyuListe">
    <w:name w:val="Dark List"/>
    <w:basedOn w:val="NormalTablo"/>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KoyuListe-Vurgu1">
    <w:name w:val="Dark List Accent 1"/>
    <w:basedOn w:val="NormalTablo"/>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KoyuListe-Vurgu2">
    <w:name w:val="Dark List Accent 2"/>
    <w:basedOn w:val="NormalTablo"/>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KoyuListe-Vurgu3">
    <w:name w:val="Dark List Accent 3"/>
    <w:basedOn w:val="NormalTablo"/>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KoyuListe-Vurgu4">
    <w:name w:val="Dark List Accent 4"/>
    <w:basedOn w:val="NormalTablo"/>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KoyuListe-Vurgu5">
    <w:name w:val="Dark List Accent 5"/>
    <w:basedOn w:val="NormalTablo"/>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KoyuListe-Vurgu6">
    <w:name w:val="Dark List Accent 6"/>
    <w:basedOn w:val="NormalTablo"/>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RenkliGlgeleme">
    <w:name w:val="Colorful Shading"/>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RenkliGlgeleme-Vurgu1">
    <w:name w:val="Colorful Shading Accent 1"/>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RenkliGlgeleme-Vurgu2">
    <w:name w:val="Colorful Shading Accent 2"/>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RenkliGlgeleme-Vurgu3">
    <w:name w:val="Colorful Shading Accent 3"/>
    <w:basedOn w:val="NormalTablo"/>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RenkliGlgeleme-Vurgu4">
    <w:name w:val="Colorful Shading Accent 4"/>
    <w:basedOn w:val="NormalTablo"/>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RenkliGlgeleme-Vurgu5">
    <w:name w:val="Colorful Shading Accent 5"/>
    <w:basedOn w:val="NormalTablo"/>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RenkliGlgeleme-Vurgu6">
    <w:name w:val="Colorful Shading Accent 6"/>
    <w:basedOn w:val="NormalTablo"/>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RenkliListe">
    <w:name w:val="Colorful List"/>
    <w:basedOn w:val="NormalTablo"/>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RenkliListe-Vurgu1">
    <w:name w:val="Colorful List Accent 1"/>
    <w:basedOn w:val="NormalTablo"/>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RenkliListe-Vurgu2">
    <w:name w:val="Colorful List Accent 2"/>
    <w:basedOn w:val="NormalTablo"/>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RenkliListe-Vurgu3">
    <w:name w:val="Colorful List Accent 3"/>
    <w:basedOn w:val="NormalTablo"/>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RenkliListe-Vurgu4">
    <w:name w:val="Colorful List Accent 4"/>
    <w:basedOn w:val="NormalTablo"/>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RenkliListe-Vurgu5">
    <w:name w:val="Colorful List Accent 5"/>
    <w:basedOn w:val="NormalTablo"/>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RenkliListe-Vurgu6">
    <w:name w:val="Colorful List Accent 6"/>
    <w:basedOn w:val="NormalTablo"/>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RenkliKlavuz">
    <w:name w:val="Colorful Grid"/>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Klavuz-Vurgu1">
    <w:name w:val="Colorful Grid Accent 1"/>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nkliKlavuz-Vurgu2">
    <w:name w:val="Colorful Grid Accent 2"/>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nkliKlavuz-Vurgu3">
    <w:name w:val="Colorful Grid Accent 3"/>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nkliKlavuz-Vurgu4">
    <w:name w:val="Colorful Grid Accent 4"/>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nkliKlavuz-Vurgu5">
    <w:name w:val="Colorful Grid Accent 5"/>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nkliKlavuz-Vurgu6">
    <w:name w:val="Colorful Grid Accent 6"/>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&#65279;<?xml version="1.0" encoding="utf-8"?><Relationships xmlns="http://schemas.openxmlformats.org/package/2006/relationships"><Relationship Type="http://schemas.openxmlformats.org/officeDocument/2006/relationships/styles" Target="styles.xml" Id="rId3" /><Relationship Type="http://schemas.openxmlformats.org/officeDocument/2006/relationships/theme" Target="theme/theme1.xml" Id="rId7"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ntTable" Target="fontTable.xml" Id="rId6" /><Relationship Type="http://schemas.openxmlformats.org/officeDocument/2006/relationships/webSettings" Target="webSettings.xml" Id="rId5" /><Relationship Type="http://schemas.openxmlformats.org/officeDocument/2006/relationships/settings" Target="settings.xml" Id="rId4" /><Relationship Type="http://schemas.openxmlformats.org/officeDocument/2006/relationships/header" Target="/word/header4.xml" Id="R0685b6a0089040dc" /><Relationship Type="http://schemas.openxmlformats.org/officeDocument/2006/relationships/footer" Target="/word/footer4.xml" Id="R011b5c33a64a437b" /></Relationships>
</file>

<file path=word/_rels/footer4.xml.rels>&#65279;<?xml version="1.0" encoding="utf-8"?><Relationships xmlns="http://schemas.openxmlformats.org/package/2006/relationships"><Relationship Type="http://schemas.openxmlformats.org/officeDocument/2006/relationships/image" Target="/media/image2.png" Id="R683c861600774e75" /><Relationship Type="http://schemas.openxmlformats.org/officeDocument/2006/relationships/hyperlink" Target="https://kvys.giresun.edu.tr/dg/284" TargetMode="External" Id="R5b88cd77b8d74c36" /></Relationships>
</file>

<file path=word/_rels/header4.xml.rels>&#65279;<?xml version="1.0" encoding="utf-8"?><Relationships xmlns="http://schemas.openxmlformats.org/package/2006/relationships"><Relationship Type="http://schemas.openxmlformats.org/officeDocument/2006/relationships/image" Target="/media/image.png" Id="R00470c5943c5432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5</Pages>
  <Words>1404</Words>
  <Characters>8009</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9395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sipahi</cp:lastModifiedBy>
  <cp:revision>3</cp:revision>
  <dcterms:created xsi:type="dcterms:W3CDTF">2013-12-23T23:15:00Z</dcterms:created>
  <dcterms:modified xsi:type="dcterms:W3CDTF">2026-06-19T11:20:00Z</dcterms:modified>
  <cp:category/>
</cp:coreProperties>
</file>